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646"/>
        <w:rPr>
          <w:rFonts w:eastAsia="方正小标宋简体"/>
          <w:sz w:val="44"/>
          <w:szCs w:val="44"/>
        </w:rPr>
      </w:pPr>
    </w:p>
    <w:p>
      <w:pPr>
        <w:tabs>
          <w:tab w:val="left" w:pos="8445"/>
        </w:tabs>
        <w:spacing w:line="560" w:lineRule="exact"/>
        <w:jc w:val="center"/>
        <w:rPr>
          <w:rFonts w:eastAsia="方正小标宋简体"/>
          <w:spacing w:val="-8"/>
          <w:sz w:val="44"/>
          <w:szCs w:val="44"/>
        </w:rPr>
      </w:pPr>
      <w:r>
        <w:rPr>
          <w:rFonts w:eastAsia="方正小标宋简体"/>
          <w:spacing w:val="-8"/>
          <w:sz w:val="44"/>
          <w:szCs w:val="44"/>
        </w:rPr>
        <w:t>2018年全市重点建设项目计划执行情况通报（</w:t>
      </w:r>
      <w:r>
        <w:rPr>
          <w:rFonts w:hint="eastAsia" w:eastAsia="方正小标宋简体"/>
          <w:spacing w:val="-8"/>
          <w:sz w:val="44"/>
          <w:szCs w:val="44"/>
        </w:rPr>
        <w:t>六</w:t>
      </w:r>
      <w:r>
        <w:rPr>
          <w:rFonts w:eastAsia="方正小标宋简体"/>
          <w:spacing w:val="-8"/>
          <w:sz w:val="44"/>
          <w:szCs w:val="44"/>
        </w:rPr>
        <w:t>）</w:t>
      </w:r>
    </w:p>
    <w:p>
      <w:pPr>
        <w:tabs>
          <w:tab w:val="left" w:pos="8445"/>
        </w:tabs>
        <w:spacing w:line="560" w:lineRule="exact"/>
        <w:jc w:val="center"/>
        <w:rPr>
          <w:rFonts w:eastAsia="方正小标宋简体"/>
          <w:sz w:val="32"/>
          <w:szCs w:val="32"/>
        </w:rPr>
      </w:pPr>
      <w:r>
        <w:rPr>
          <w:rFonts w:eastAsia="楷体_GB2312"/>
          <w:sz w:val="32"/>
          <w:szCs w:val="32"/>
        </w:rPr>
        <w:t>（1-</w:t>
      </w:r>
      <w:r>
        <w:rPr>
          <w:rFonts w:hint="eastAsia" w:eastAsia="楷体_GB2312"/>
          <w:sz w:val="32"/>
          <w:szCs w:val="32"/>
        </w:rPr>
        <w:t>10</w:t>
      </w:r>
      <w:r>
        <w:rPr>
          <w:rFonts w:eastAsia="楷体_GB2312"/>
          <w:sz w:val="32"/>
          <w:szCs w:val="32"/>
        </w:rPr>
        <w:t>月份）</w:t>
      </w:r>
    </w:p>
    <w:p>
      <w:pPr>
        <w:tabs>
          <w:tab w:val="left" w:pos="8445"/>
        </w:tabs>
        <w:spacing w:line="560" w:lineRule="exact"/>
        <w:jc w:val="center"/>
        <w:rPr>
          <w:rFonts w:eastAsia="方正小标宋简体"/>
          <w:sz w:val="44"/>
          <w:szCs w:val="44"/>
        </w:rPr>
      </w:pPr>
    </w:p>
    <w:p>
      <w:pPr>
        <w:spacing w:line="60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bookmarkStart w:id="0" w:name="_GoBack"/>
      <w:bookmarkEnd w:id="0"/>
    </w:p>
    <w:p>
      <w:pPr>
        <w:tabs>
          <w:tab w:val="left" w:pos="8445"/>
        </w:tabs>
        <w:spacing w:line="600" w:lineRule="exact"/>
        <w:ind w:firstLine="641"/>
        <w:rPr>
          <w:rFonts w:eastAsia="仿宋_GB2312"/>
          <w:spacing w:val="-4"/>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。截至10月底，</w:t>
      </w:r>
      <w:r>
        <w:rPr>
          <w:rFonts w:eastAsia="仿宋_GB2312"/>
          <w:spacing w:val="-4"/>
          <w:sz w:val="32"/>
          <w:szCs w:val="32"/>
        </w:rPr>
        <w:t>已完成投资</w:t>
      </w:r>
      <w:r>
        <w:rPr>
          <w:rFonts w:hint="eastAsia" w:eastAsia="仿宋_GB2312"/>
          <w:spacing w:val="-4"/>
          <w:sz w:val="32"/>
          <w:szCs w:val="32"/>
        </w:rPr>
        <w:t>814.95</w:t>
      </w:r>
      <w:r>
        <w:rPr>
          <w:rFonts w:eastAsia="仿宋_GB2312"/>
          <w:spacing w:val="-4"/>
          <w:sz w:val="32"/>
          <w:szCs w:val="32"/>
        </w:rPr>
        <w:t>亿元，完成率</w:t>
      </w:r>
      <w:r>
        <w:rPr>
          <w:rFonts w:hint="eastAsia" w:eastAsia="仿宋_GB2312"/>
          <w:spacing w:val="-4"/>
          <w:sz w:val="32"/>
          <w:szCs w:val="32"/>
        </w:rPr>
        <w:t>为98.0</w:t>
      </w:r>
      <w:r>
        <w:rPr>
          <w:rFonts w:eastAsia="仿宋_GB2312"/>
          <w:spacing w:val="-4"/>
          <w:sz w:val="32"/>
          <w:szCs w:val="32"/>
        </w:rPr>
        <w:t>%，</w:t>
      </w:r>
      <w:r>
        <w:rPr>
          <w:rFonts w:hint="eastAsia" w:eastAsia="仿宋_GB2312"/>
          <w:spacing w:val="-4"/>
          <w:sz w:val="32"/>
          <w:szCs w:val="32"/>
        </w:rPr>
        <w:t>比上月提高11.9个百分点；计划开工74个</w:t>
      </w:r>
      <w:r>
        <w:rPr>
          <w:rFonts w:eastAsia="仿宋_GB2312"/>
          <w:spacing w:val="-4"/>
          <w:sz w:val="32"/>
          <w:szCs w:val="32"/>
        </w:rPr>
        <w:t>已开工</w:t>
      </w:r>
      <w:r>
        <w:rPr>
          <w:rFonts w:hint="eastAsia" w:eastAsia="仿宋_GB2312"/>
          <w:spacing w:val="-4"/>
          <w:sz w:val="32"/>
          <w:szCs w:val="32"/>
        </w:rPr>
        <w:t>66</w:t>
      </w:r>
      <w:r>
        <w:rPr>
          <w:rFonts w:eastAsia="仿宋_GB2312"/>
          <w:spacing w:val="-4"/>
          <w:sz w:val="32"/>
          <w:szCs w:val="32"/>
        </w:rPr>
        <w:t>个，开工率</w:t>
      </w:r>
      <w:r>
        <w:rPr>
          <w:rFonts w:hint="eastAsia" w:eastAsia="仿宋_GB2312"/>
          <w:spacing w:val="-4"/>
          <w:sz w:val="32"/>
          <w:szCs w:val="32"/>
        </w:rPr>
        <w:t>为89.2</w:t>
      </w:r>
      <w:r>
        <w:rPr>
          <w:rFonts w:eastAsia="仿宋_GB2312"/>
          <w:spacing w:val="-4"/>
          <w:sz w:val="32"/>
          <w:szCs w:val="32"/>
        </w:rPr>
        <w:t>%，</w:t>
      </w:r>
      <w:r>
        <w:rPr>
          <w:rFonts w:hint="eastAsia" w:eastAsia="仿宋_GB2312"/>
          <w:spacing w:val="-4"/>
          <w:sz w:val="32"/>
          <w:szCs w:val="32"/>
        </w:rPr>
        <w:t>比上月提高5.4个百分点。</w:t>
      </w:r>
    </w:p>
    <w:p>
      <w:pPr>
        <w:tabs>
          <w:tab w:val="left" w:pos="8445"/>
        </w:tabs>
        <w:spacing w:line="600" w:lineRule="exact"/>
        <w:ind w:firstLine="641"/>
        <w:rPr>
          <w:rFonts w:eastAsia="仿宋_GB2312"/>
          <w:spacing w:val="-4"/>
          <w:sz w:val="32"/>
          <w:szCs w:val="32"/>
        </w:rPr>
      </w:pPr>
      <w:r>
        <w:rPr>
          <w:rFonts w:hint="eastAsia" w:eastAsia="仿宋_GB2312"/>
          <w:sz w:val="32"/>
          <w:szCs w:val="32"/>
        </w:rPr>
        <w:t>其中，①111个省重点建设项目已完成投资319.91亿元，完成率为91.5%。②78个市四套班子领导挂钩联系重大项目已完成投资353.18亿元，完成率为88.6%。③223个5亿元以上项目已完成投资718.33亿元，完成率为97.6%，比上月提高11.9个百分点。</w:t>
      </w:r>
      <w:r>
        <w:rPr>
          <w:rFonts w:hint="eastAsia" w:ascii="仿宋_GB2312" w:eastAsia="仿宋_GB2312"/>
          <w:b/>
          <w:sz w:val="32"/>
          <w:szCs w:val="32"/>
        </w:rPr>
        <w:t>70个5亿元以上重大产业项目已完成投资201.11亿元，完成率为112.7%，比上月提高19.1个百分点</w:t>
      </w:r>
      <w:r>
        <w:rPr>
          <w:rFonts w:hint="eastAsia" w:ascii="仿宋_GB2312" w:eastAsia="仿宋_GB2312"/>
          <w:sz w:val="32"/>
          <w:szCs w:val="32"/>
        </w:rPr>
        <w:t>（</w:t>
      </w:r>
      <w:r>
        <w:rPr>
          <w:rFonts w:hint="eastAsia" w:ascii="仿宋_GB2312" w:eastAsia="仿宋_GB2312" w:cs="楷体_GB2312"/>
          <w:bCs/>
          <w:sz w:val="32"/>
          <w:szCs w:val="32"/>
        </w:rPr>
        <w:t>其中，5亿元以上工业项目完成投资74.89亿元，完成率为112.6%；5亿元以上服务业项目完成投资126.22亿元，完成率为112.7%</w:t>
      </w:r>
      <w:r>
        <w:rPr>
          <w:rFonts w:hint="eastAsia" w:ascii="仿宋_GB2312" w:eastAsia="仿宋_GB2312"/>
          <w:sz w:val="32"/>
          <w:szCs w:val="32"/>
        </w:rPr>
        <w:t>）。</w:t>
      </w:r>
    </w:p>
    <w:p>
      <w:pPr>
        <w:spacing w:line="600" w:lineRule="exact"/>
        <w:ind w:firstLine="627" w:firstLineChars="196"/>
        <w:rPr>
          <w:rFonts w:eastAsia="黑体"/>
          <w:sz w:val="32"/>
          <w:szCs w:val="32"/>
        </w:rPr>
      </w:pPr>
      <w:r>
        <w:rPr>
          <w:rFonts w:hint="eastAsia" w:eastAsia="黑体"/>
          <w:sz w:val="32"/>
          <w:szCs w:val="32"/>
        </w:rPr>
        <w:t>二、县（市、区）、省级产业集聚区重点建设项目推进情况</w:t>
      </w:r>
    </w:p>
    <w:p>
      <w:pPr>
        <w:spacing w:line="60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。截至10月底</w:t>
      </w:r>
      <w:r>
        <w:rPr>
          <w:rFonts w:eastAsia="仿宋_GB2312"/>
          <w:sz w:val="32"/>
          <w:szCs w:val="32"/>
        </w:rPr>
        <w:t>，</w:t>
      </w:r>
      <w:r>
        <w:rPr>
          <w:rFonts w:hint="eastAsia" w:eastAsia="仿宋_GB2312"/>
          <w:sz w:val="32"/>
          <w:szCs w:val="32"/>
        </w:rPr>
        <w:t>已完成投资540.05亿元，完成率为110.9%。除瓯海区（98.6%）、文成县（98.1%）、洞头县（94.1%）、浙南产业集聚区（93.0%）之外，其余地区均已超额完成年度投资任务。</w:t>
      </w:r>
    </w:p>
    <w:p>
      <w:pPr>
        <w:spacing w:line="600" w:lineRule="exact"/>
        <w:ind w:firstLine="627" w:firstLineChars="196"/>
        <w:rPr>
          <w:rFonts w:eastAsia="黑体"/>
          <w:sz w:val="32"/>
          <w:szCs w:val="32"/>
        </w:rPr>
      </w:pPr>
      <w:r>
        <w:rPr>
          <w:rFonts w:hint="eastAsia" w:eastAsia="黑体"/>
          <w:sz w:val="32"/>
          <w:szCs w:val="32"/>
        </w:rPr>
        <w:t>三、市直单位重点建设项目推进情况</w:t>
      </w:r>
    </w:p>
    <w:p>
      <w:pPr>
        <w:spacing w:line="600" w:lineRule="exact"/>
        <w:ind w:firstLine="627" w:firstLineChars="196"/>
        <w:rPr>
          <w:rFonts w:eastAsia="仿宋_GB2312"/>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共59个。截至10月底，已完成投资274.90亿元，完成率为79.9%。其中，</w:t>
      </w:r>
      <w:r>
        <w:rPr>
          <w:rFonts w:hint="eastAsia" w:eastAsia="仿宋_GB2312"/>
          <w:b/>
          <w:sz w:val="32"/>
          <w:szCs w:val="32"/>
        </w:rPr>
        <w:t>完成投资量较大的</w:t>
      </w:r>
      <w:r>
        <w:rPr>
          <w:rFonts w:hint="eastAsia" w:eastAsia="仿宋_GB2312"/>
          <w:sz w:val="32"/>
          <w:szCs w:val="32"/>
        </w:rPr>
        <w:t>有市交投集团、市铁投集团、龙丽温高速公路指挥部；</w:t>
      </w:r>
      <w:r>
        <w:rPr>
          <w:rFonts w:hint="eastAsia" w:eastAsia="仿宋_GB2312"/>
          <w:b/>
          <w:sz w:val="32"/>
          <w:szCs w:val="32"/>
        </w:rPr>
        <w:t>完成进展较快的</w:t>
      </w:r>
      <w:r>
        <w:rPr>
          <w:rFonts w:hint="eastAsia" w:eastAsia="仿宋_GB2312"/>
          <w:sz w:val="32"/>
          <w:szCs w:val="32"/>
        </w:rPr>
        <w:t>有市名城集团、市城投集团、市公用集团；</w:t>
      </w:r>
      <w:r>
        <w:rPr>
          <w:rFonts w:hint="eastAsia" w:eastAsia="仿宋_GB2312"/>
          <w:b/>
          <w:sz w:val="32"/>
          <w:szCs w:val="32"/>
        </w:rPr>
        <w:t>完成进度较慢的</w:t>
      </w:r>
      <w:r>
        <w:rPr>
          <w:rFonts w:hint="eastAsia" w:eastAsia="仿宋_GB2312"/>
          <w:sz w:val="32"/>
          <w:szCs w:val="32"/>
        </w:rPr>
        <w:t>有市公安局、市铁投集团、龙丽温高速公路指挥部，完成率低于75%。</w:t>
      </w:r>
    </w:p>
    <w:p>
      <w:pPr>
        <w:spacing w:line="600" w:lineRule="exact"/>
        <w:ind w:firstLine="627" w:firstLineChars="196"/>
        <w:rPr>
          <w:rFonts w:eastAsia="黑体"/>
          <w:sz w:val="32"/>
          <w:szCs w:val="32"/>
        </w:rPr>
      </w:pPr>
      <w:r>
        <w:rPr>
          <w:rFonts w:hint="eastAsia" w:eastAsia="黑体"/>
          <w:sz w:val="32"/>
          <w:szCs w:val="32"/>
        </w:rPr>
        <w:t>四、全市重点建设进展滞后项目情况</w:t>
      </w:r>
    </w:p>
    <w:p>
      <w:pPr>
        <w:spacing w:line="600" w:lineRule="exact"/>
        <w:ind w:firstLine="627" w:firstLineChars="196"/>
        <w:rPr>
          <w:rFonts w:eastAsia="仿宋_GB2312" w:cs="仿宋_GB2312"/>
          <w:sz w:val="32"/>
          <w:szCs w:val="32"/>
        </w:rPr>
      </w:pPr>
      <w:r>
        <w:rPr>
          <w:rFonts w:hint="eastAsia" w:eastAsia="仿宋_GB2312"/>
          <w:sz w:val="32"/>
          <w:szCs w:val="32"/>
        </w:rPr>
        <w:t>截至10月底，全市重点建设项目投资完成率低于60%的项目还有27个（8月及以后开工项目除外）。其中，</w:t>
      </w:r>
      <w:r>
        <w:rPr>
          <w:rFonts w:hint="eastAsia" w:eastAsia="仿宋_GB2312" w:cs="仿宋_GB2312"/>
          <w:sz w:val="32"/>
          <w:szCs w:val="32"/>
        </w:rPr>
        <w:t>有</w:t>
      </w:r>
      <w:r>
        <w:rPr>
          <w:rFonts w:hint="eastAsia" w:eastAsia="仿宋_GB2312"/>
          <w:sz w:val="32"/>
          <w:szCs w:val="32"/>
        </w:rPr>
        <w:t>4个项目应开工未开工，分别是</w:t>
      </w:r>
      <w:r>
        <w:rPr>
          <w:rFonts w:hint="eastAsia" w:eastAsia="仿宋_GB2312" w:cs="仿宋_GB2312"/>
          <w:sz w:val="32"/>
          <w:szCs w:val="32"/>
        </w:rPr>
        <w:t>228国道至323省道连接线工程（</w:t>
      </w:r>
      <w:r>
        <w:rPr>
          <w:rFonts w:hint="eastAsia" w:ascii="楷体_GB2312" w:eastAsia="楷体_GB2312" w:cs="仿宋_GB2312"/>
          <w:sz w:val="32"/>
          <w:szCs w:val="32"/>
        </w:rPr>
        <w:t>乐清市</w:t>
      </w:r>
      <w:r>
        <w:rPr>
          <w:rFonts w:hint="eastAsia" w:eastAsia="仿宋_GB2312" w:cs="仿宋_GB2312"/>
          <w:sz w:val="32"/>
          <w:szCs w:val="32"/>
        </w:rPr>
        <w:t>）、228国道苍南龙沙至岱岭段（</w:t>
      </w:r>
      <w:r>
        <w:rPr>
          <w:rFonts w:hint="eastAsia" w:ascii="楷体_GB2312" w:eastAsia="楷体_GB2312" w:cs="仿宋_GB2312"/>
          <w:sz w:val="32"/>
          <w:szCs w:val="32"/>
        </w:rPr>
        <w:t>苍南县</w:t>
      </w:r>
      <w:r>
        <w:rPr>
          <w:rFonts w:hint="eastAsia" w:eastAsia="仿宋_GB2312" w:cs="仿宋_GB2312"/>
          <w:sz w:val="32"/>
          <w:szCs w:val="32"/>
        </w:rPr>
        <w:t>）、沈海高速复线瓯江口产业集聚区连接线工程（</w:t>
      </w:r>
      <w:r>
        <w:rPr>
          <w:rFonts w:hint="eastAsia" w:ascii="楷体_GB2312" w:eastAsia="楷体_GB2312" w:cs="仿宋_GB2312"/>
          <w:sz w:val="32"/>
          <w:szCs w:val="32"/>
        </w:rPr>
        <w:t>瓯江口，市政类项目</w:t>
      </w:r>
      <w:r>
        <w:rPr>
          <w:rFonts w:hint="eastAsia" w:eastAsia="仿宋_GB2312" w:cs="仿宋_GB2312"/>
          <w:sz w:val="32"/>
          <w:szCs w:val="32"/>
        </w:rPr>
        <w:t>）、228国道洞头灵昆段工程（</w:t>
      </w:r>
      <w:r>
        <w:rPr>
          <w:rFonts w:hint="eastAsia" w:ascii="楷体_GB2312" w:eastAsia="楷体_GB2312" w:cs="仿宋_GB2312"/>
          <w:sz w:val="32"/>
          <w:szCs w:val="32"/>
        </w:rPr>
        <w:t>瓯江口</w:t>
      </w:r>
      <w:r>
        <w:rPr>
          <w:rFonts w:hint="eastAsia" w:eastAsia="仿宋_GB2312" w:cs="仿宋_GB2312"/>
          <w:sz w:val="32"/>
          <w:szCs w:val="32"/>
        </w:rPr>
        <w:t>）。</w:t>
      </w:r>
    </w:p>
    <w:p>
      <w:pPr>
        <w:spacing w:line="600" w:lineRule="exact"/>
        <w:ind w:firstLine="627" w:firstLineChars="196"/>
        <w:rPr>
          <w:rFonts w:eastAsia="仿宋_GB2312"/>
          <w:sz w:val="32"/>
          <w:szCs w:val="32"/>
        </w:rPr>
      </w:pPr>
    </w:p>
    <w:p>
      <w:pPr>
        <w:spacing w:line="560" w:lineRule="exact"/>
        <w:ind w:firstLine="627" w:firstLineChars="196"/>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2018年市重点建设项目分行业完成情况表</w:t>
      </w:r>
    </w:p>
    <w:p>
      <w:pPr>
        <w:spacing w:line="560" w:lineRule="exact"/>
        <w:ind w:left="973" w:firstLine="627" w:firstLineChars="196"/>
        <w:rPr>
          <w:rFonts w:eastAsia="仿宋_GB2312"/>
          <w:sz w:val="32"/>
          <w:szCs w:val="32"/>
        </w:rPr>
      </w:pPr>
      <w:r>
        <w:rPr>
          <w:rFonts w:eastAsia="仿宋_GB2312"/>
          <w:sz w:val="32"/>
          <w:szCs w:val="32"/>
        </w:rPr>
        <w:t>2.2018年市重点建设项目分区域完成情况表</w:t>
      </w:r>
    </w:p>
    <w:p>
      <w:pPr>
        <w:spacing w:line="560" w:lineRule="exact"/>
        <w:ind w:left="973" w:firstLine="627" w:firstLineChars="196"/>
        <w:rPr>
          <w:rFonts w:eastAsia="仿宋_GB2312"/>
          <w:sz w:val="32"/>
          <w:szCs w:val="32"/>
          <w:u w:val="single"/>
        </w:rPr>
      </w:pPr>
      <w:r>
        <w:rPr>
          <w:rFonts w:hint="eastAsia" w:eastAsia="仿宋_GB2312"/>
          <w:sz w:val="32"/>
          <w:szCs w:val="32"/>
        </w:rPr>
        <w:t>3.2018年5亿元以上重大项目分区域完成情况表</w:t>
      </w:r>
    </w:p>
    <w:p>
      <w:pPr>
        <w:spacing w:line="56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.2018年市重点建设项目市直单位完成情况表</w:t>
      </w:r>
    </w:p>
    <w:p>
      <w:pPr>
        <w:spacing w:line="56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.2018年市重点建设项目开工完成情况表</w:t>
      </w:r>
    </w:p>
    <w:p>
      <w:pPr>
        <w:spacing w:line="560" w:lineRule="exact"/>
        <w:ind w:firstLine="1600" w:firstLineChars="500"/>
        <w:rPr>
          <w:rFonts w:eastAsia="仿宋_GB2312"/>
          <w:sz w:val="32"/>
          <w:szCs w:val="32"/>
        </w:rPr>
      </w:pPr>
      <w:r>
        <w:rPr>
          <w:rFonts w:hint="eastAsia" w:eastAsia="仿宋_GB2312"/>
          <w:sz w:val="32"/>
          <w:szCs w:val="32"/>
        </w:rPr>
        <w:t>6.市四套班子领导挂钩联系重大项目完成情况表</w:t>
      </w:r>
    </w:p>
    <w:p>
      <w:pPr>
        <w:spacing w:line="560" w:lineRule="exact"/>
        <w:ind w:firstLine="1600" w:firstLineChars="500"/>
        <w:rPr>
          <w:rFonts w:eastAsia="仿宋_GB2312"/>
          <w:sz w:val="32"/>
          <w:szCs w:val="32"/>
        </w:rPr>
      </w:pPr>
      <w:r>
        <w:rPr>
          <w:rFonts w:hint="eastAsia" w:eastAsia="仿宋_GB2312"/>
          <w:sz w:val="32"/>
          <w:szCs w:val="32"/>
        </w:rPr>
        <w:t>7.2018年市重点建设进展滞后项目情况表</w:t>
      </w:r>
    </w:p>
    <w:p>
      <w:pPr>
        <w:spacing w:line="56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00" w:lineRule="exact"/>
        <w:ind w:firstLine="1600" w:firstLineChars="500"/>
        <w:rPr>
          <w:rFonts w:eastAsia="仿宋_GB2312"/>
          <w:sz w:val="32"/>
          <w:szCs w:val="32"/>
        </w:rPr>
      </w:pPr>
    </w:p>
    <w:p>
      <w:pPr>
        <w:spacing w:line="520" w:lineRule="exact"/>
        <w:rPr>
          <w:rFonts w:eastAsia="仿宋_GB2312" w:cs="仿宋_GB2312"/>
          <w:sz w:val="30"/>
          <w:szCs w:val="30"/>
        </w:rPr>
      </w:pPr>
      <w:r>
        <w:rPr>
          <w:rFonts w:eastAsia="仿宋_GB2312" w:cs="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295275</wp:posOffset>
                </wp:positionV>
                <wp:extent cx="5615940" cy="0"/>
                <wp:effectExtent l="0" t="0" r="0" b="0"/>
                <wp:wrapNone/>
                <wp:docPr id="4"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0.25pt;margin-top:23.25pt;height:0pt;width:442.2pt;z-index:251665408;mso-width-relative:page;mso-height-relative:page;" filled="f" stroked="t" coordsize="21600,21600" o:gfxdata="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b5dnWAAAABwEAAA8A&#10;AAAAAAAAAQAgAAAAOAAAAGRycy9kb3ducmV2LnhtbFBLAQIUABQAAAAIAIdO4kBVuUykygEAAJAD&#10;AAAOAAAAAAAAAAEAIAAAADsBAABkcnMvZTJvRG9jLnhtbFBLBQYAAAAABgAGAFkBAAB3BQAAAAA=&#10;">
                <v:fill on="f" focussize="0,0"/>
                <v:stroke weight="1pt" color="#000000" joinstyle="round"/>
                <v:imagedata o:title=""/>
                <o:lock v:ext="edit" aspectratio="f"/>
              </v:line>
            </w:pict>
          </mc:Fallback>
        </mc:AlternateContent>
      </w:r>
    </w:p>
    <w:p>
      <w:pPr>
        <w:spacing w:line="520" w:lineRule="exact"/>
        <w:ind w:left="1582"/>
        <w:rPr>
          <w:rFonts w:eastAsia="仿宋_GB2312" w:cs="仿宋_GB2312"/>
          <w:sz w:val="28"/>
          <w:szCs w:val="28"/>
        </w:rPr>
        <w:sectPr>
          <w:footerReference r:id="rId3" w:type="default"/>
          <w:pgSz w:w="11906" w:h="16838"/>
          <w:pgMar w:top="2098" w:right="1474" w:bottom="1985" w:left="1588" w:header="851" w:footer="992" w:gutter="0"/>
          <w:pgNumType w:fmt="numberInDash"/>
          <w:cols w:space="0" w:num="1"/>
          <w:docGrid w:type="lines" w:linePitch="312" w:charSpace="0"/>
        </w:sectPr>
      </w:pPr>
    </w:p>
    <w:p>
      <w:pPr>
        <w:tabs>
          <w:tab w:val="left" w:pos="8640"/>
        </w:tabs>
        <w:spacing w:line="560" w:lineRule="exact"/>
        <w:rPr>
          <w:rFonts w:eastAsia="黑体"/>
          <w:sz w:val="32"/>
          <w:szCs w:val="32"/>
        </w:rPr>
      </w:pPr>
      <w:r>
        <w:rPr>
          <w:rFonts w:hint="eastAsia" w:eastAsia="黑体"/>
          <w:sz w:val="32"/>
          <w:szCs w:val="32"/>
        </w:rPr>
        <w:t>附件1</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2018年市重点建设项目分行业完成情况表</w:t>
      </w:r>
      <w:r>
        <w:rPr>
          <w:rFonts w:hint="eastAsia" w:eastAsia="楷体_GB2312"/>
          <w:sz w:val="32"/>
          <w:szCs w:val="32"/>
        </w:rPr>
        <w:t>（1-10月）</w:t>
      </w:r>
    </w:p>
    <w:p>
      <w:pPr>
        <w:tabs>
          <w:tab w:val="left" w:pos="8640"/>
        </w:tabs>
        <w:spacing w:line="500" w:lineRule="exact"/>
        <w:ind w:right="480"/>
        <w:jc w:val="right"/>
        <w:rPr>
          <w:rFonts w:eastAsia="楷体_GB2312"/>
          <w:sz w:val="24"/>
        </w:rPr>
      </w:pPr>
      <w:r>
        <w:rPr>
          <w:rFonts w:hint="eastAsia" w:eastAsia="楷体_GB2312"/>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sz w:val="24"/>
              </w:rPr>
            </w:pPr>
            <w:r>
              <w:rPr>
                <w:rFonts w:eastAsia="黑体"/>
                <w:sz w:val="24"/>
              </w:rPr>
              <w:t>序号</w:t>
            </w:r>
          </w:p>
        </w:tc>
        <w:tc>
          <w:tcPr>
            <w:tcW w:w="1701" w:type="dxa"/>
            <w:vMerge w:val="restart"/>
            <w:vAlign w:val="center"/>
          </w:tcPr>
          <w:p>
            <w:pPr>
              <w:tabs>
                <w:tab w:val="left" w:pos="8640"/>
              </w:tabs>
              <w:jc w:val="center"/>
              <w:rPr>
                <w:rFonts w:eastAsia="黑体"/>
                <w:sz w:val="24"/>
              </w:rPr>
            </w:pPr>
            <w:r>
              <w:rPr>
                <w:rFonts w:eastAsia="黑体"/>
                <w:sz w:val="24"/>
              </w:rPr>
              <w:t>分类</w:t>
            </w:r>
          </w:p>
        </w:tc>
        <w:tc>
          <w:tcPr>
            <w:tcW w:w="851" w:type="dxa"/>
            <w:vMerge w:val="restart"/>
            <w:vAlign w:val="center"/>
          </w:tcPr>
          <w:p>
            <w:pPr>
              <w:tabs>
                <w:tab w:val="left" w:pos="8640"/>
              </w:tabs>
              <w:jc w:val="center"/>
              <w:rPr>
                <w:rFonts w:eastAsia="黑体"/>
                <w:sz w:val="24"/>
              </w:rPr>
            </w:pPr>
            <w:r>
              <w:rPr>
                <w:rFonts w:eastAsia="黑体"/>
                <w:sz w:val="24"/>
              </w:rPr>
              <w:t>项目</w:t>
            </w:r>
          </w:p>
          <w:p>
            <w:pPr>
              <w:tabs>
                <w:tab w:val="left" w:pos="8640"/>
              </w:tabs>
              <w:jc w:val="center"/>
              <w:rPr>
                <w:rFonts w:eastAsia="黑体"/>
                <w:sz w:val="24"/>
              </w:rPr>
            </w:pPr>
            <w:r>
              <w:rPr>
                <w:rFonts w:eastAsia="黑体"/>
                <w:sz w:val="24"/>
              </w:rPr>
              <w:t>个数</w:t>
            </w:r>
          </w:p>
        </w:tc>
        <w:tc>
          <w:tcPr>
            <w:tcW w:w="1134" w:type="dxa"/>
            <w:vMerge w:val="restart"/>
            <w:vAlign w:val="center"/>
          </w:tcPr>
          <w:p>
            <w:pPr>
              <w:tabs>
                <w:tab w:val="left" w:pos="8640"/>
              </w:tabs>
              <w:jc w:val="center"/>
              <w:rPr>
                <w:rFonts w:eastAsia="黑体"/>
                <w:sz w:val="24"/>
              </w:rPr>
            </w:pPr>
            <w:r>
              <w:rPr>
                <w:rFonts w:eastAsia="黑体"/>
                <w:sz w:val="24"/>
              </w:rPr>
              <w:t>年度计</w:t>
            </w:r>
          </w:p>
          <w:p>
            <w:pPr>
              <w:tabs>
                <w:tab w:val="left" w:pos="8640"/>
              </w:tabs>
              <w:jc w:val="center"/>
              <w:rPr>
                <w:rFonts w:eastAsia="黑体"/>
                <w:sz w:val="24"/>
              </w:rPr>
            </w:pPr>
            <w:r>
              <w:rPr>
                <w:rFonts w:eastAsia="黑体"/>
                <w:sz w:val="24"/>
              </w:rPr>
              <w:t>划投资</w:t>
            </w:r>
          </w:p>
        </w:tc>
        <w:tc>
          <w:tcPr>
            <w:tcW w:w="992" w:type="dxa"/>
            <w:vMerge w:val="restart"/>
            <w:vAlign w:val="center"/>
          </w:tcPr>
          <w:p>
            <w:pPr>
              <w:tabs>
                <w:tab w:val="left" w:pos="8640"/>
              </w:tabs>
              <w:jc w:val="center"/>
              <w:rPr>
                <w:rFonts w:eastAsia="黑体"/>
                <w:sz w:val="24"/>
              </w:rPr>
            </w:pPr>
            <w:r>
              <w:rPr>
                <w:rFonts w:eastAsia="黑体"/>
                <w:sz w:val="24"/>
              </w:rPr>
              <w:t>完成</w:t>
            </w:r>
          </w:p>
          <w:p>
            <w:pPr>
              <w:tabs>
                <w:tab w:val="left" w:pos="8640"/>
              </w:tabs>
              <w:jc w:val="center"/>
              <w:rPr>
                <w:rFonts w:eastAsia="黑体"/>
                <w:sz w:val="24"/>
              </w:rPr>
            </w:pPr>
            <w:r>
              <w:rPr>
                <w:rFonts w:eastAsia="黑体"/>
                <w:sz w:val="24"/>
              </w:rPr>
              <w:t>投资</w:t>
            </w:r>
          </w:p>
        </w:tc>
        <w:tc>
          <w:tcPr>
            <w:tcW w:w="992" w:type="dxa"/>
            <w:vMerge w:val="restart"/>
            <w:vAlign w:val="center"/>
          </w:tcPr>
          <w:p>
            <w:pPr>
              <w:tabs>
                <w:tab w:val="left" w:pos="8640"/>
              </w:tabs>
              <w:jc w:val="center"/>
              <w:rPr>
                <w:rFonts w:eastAsia="黑体"/>
                <w:sz w:val="24"/>
              </w:rPr>
            </w:pPr>
            <w:r>
              <w:rPr>
                <w:rFonts w:eastAsia="黑体"/>
                <w:sz w:val="24"/>
              </w:rPr>
              <w:t>投资</w:t>
            </w:r>
          </w:p>
          <w:p>
            <w:pPr>
              <w:tabs>
                <w:tab w:val="left" w:pos="8640"/>
              </w:tabs>
              <w:jc w:val="center"/>
              <w:rPr>
                <w:rFonts w:eastAsia="黑体"/>
                <w:sz w:val="24"/>
              </w:rPr>
            </w:pPr>
            <w:r>
              <w:rPr>
                <w:rFonts w:eastAsia="黑体"/>
                <w:sz w:val="24"/>
              </w:rPr>
              <w:t>完成率</w:t>
            </w:r>
          </w:p>
        </w:tc>
        <w:tc>
          <w:tcPr>
            <w:tcW w:w="709" w:type="dxa"/>
            <w:vMerge w:val="restart"/>
            <w:tcBorders>
              <w:right w:val="double" w:color="auto" w:sz="4" w:space="0"/>
            </w:tcBorders>
            <w:vAlign w:val="center"/>
          </w:tcPr>
          <w:p>
            <w:pPr>
              <w:tabs>
                <w:tab w:val="left" w:pos="8640"/>
              </w:tabs>
              <w:jc w:val="center"/>
              <w:rPr>
                <w:rFonts w:eastAsia="黑体"/>
                <w:sz w:val="24"/>
              </w:rPr>
            </w:pPr>
            <w:r>
              <w:rPr>
                <w:rFonts w:eastAsia="黑体"/>
                <w:sz w:val="24"/>
              </w:rPr>
              <w:t>占比</w:t>
            </w:r>
          </w:p>
        </w:tc>
        <w:tc>
          <w:tcPr>
            <w:tcW w:w="2693" w:type="dxa"/>
            <w:gridSpan w:val="3"/>
            <w:tcBorders>
              <w:left w:val="double" w:color="auto" w:sz="4" w:space="0"/>
            </w:tcBorders>
            <w:vAlign w:val="center"/>
          </w:tcPr>
          <w:p>
            <w:pPr>
              <w:tabs>
                <w:tab w:val="left" w:pos="8640"/>
              </w:tabs>
              <w:jc w:val="center"/>
              <w:rPr>
                <w:rFonts w:eastAsia="黑体"/>
                <w:sz w:val="24"/>
              </w:rPr>
            </w:pPr>
            <w:r>
              <w:rPr>
                <w:rFonts w:hint="eastAsia" w:eastAsia="黑体"/>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sz w:val="24"/>
              </w:rPr>
            </w:pPr>
          </w:p>
        </w:tc>
        <w:tc>
          <w:tcPr>
            <w:tcW w:w="1701" w:type="dxa"/>
            <w:vMerge w:val="continue"/>
            <w:vAlign w:val="center"/>
          </w:tcPr>
          <w:p>
            <w:pPr>
              <w:tabs>
                <w:tab w:val="left" w:pos="8640"/>
              </w:tabs>
              <w:jc w:val="center"/>
              <w:rPr>
                <w:rFonts w:eastAsia="黑体"/>
                <w:sz w:val="24"/>
              </w:rPr>
            </w:pPr>
          </w:p>
        </w:tc>
        <w:tc>
          <w:tcPr>
            <w:tcW w:w="851" w:type="dxa"/>
            <w:vMerge w:val="continue"/>
            <w:vAlign w:val="center"/>
          </w:tcPr>
          <w:p>
            <w:pPr>
              <w:tabs>
                <w:tab w:val="left" w:pos="8640"/>
              </w:tabs>
              <w:jc w:val="center"/>
              <w:rPr>
                <w:rFonts w:eastAsia="黑体"/>
                <w:sz w:val="24"/>
              </w:rPr>
            </w:pPr>
          </w:p>
        </w:tc>
        <w:tc>
          <w:tcPr>
            <w:tcW w:w="1134"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709" w:type="dxa"/>
            <w:vMerge w:val="continue"/>
            <w:tcBorders>
              <w:right w:val="double" w:color="auto" w:sz="4" w:space="0"/>
            </w:tcBorders>
            <w:vAlign w:val="center"/>
          </w:tcPr>
          <w:p>
            <w:pPr>
              <w:tabs>
                <w:tab w:val="left" w:pos="8640"/>
              </w:tabs>
              <w:jc w:val="center"/>
              <w:rPr>
                <w:rFonts w:eastAsia="黑体"/>
                <w:sz w:val="24"/>
              </w:rPr>
            </w:pPr>
          </w:p>
        </w:tc>
        <w:tc>
          <w:tcPr>
            <w:tcW w:w="709" w:type="dxa"/>
            <w:tcBorders>
              <w:left w:val="double" w:color="auto" w:sz="4" w:space="0"/>
            </w:tcBorders>
            <w:vAlign w:val="center"/>
          </w:tcPr>
          <w:p>
            <w:pPr>
              <w:tabs>
                <w:tab w:val="left" w:pos="8640"/>
              </w:tabs>
              <w:jc w:val="center"/>
              <w:rPr>
                <w:rFonts w:eastAsia="黑体"/>
                <w:sz w:val="24"/>
              </w:rPr>
            </w:pPr>
            <w:r>
              <w:rPr>
                <w:rFonts w:hint="eastAsia" w:eastAsia="黑体"/>
                <w:sz w:val="24"/>
              </w:rPr>
              <w:t>个数</w:t>
            </w:r>
          </w:p>
        </w:tc>
        <w:tc>
          <w:tcPr>
            <w:tcW w:w="992" w:type="dxa"/>
            <w:vAlign w:val="center"/>
          </w:tcPr>
          <w:p>
            <w:pPr>
              <w:tabs>
                <w:tab w:val="left" w:pos="8640"/>
              </w:tabs>
              <w:jc w:val="center"/>
              <w:rPr>
                <w:rFonts w:eastAsia="黑体"/>
                <w:sz w:val="24"/>
              </w:rPr>
            </w:pPr>
            <w:r>
              <w:rPr>
                <w:rFonts w:hint="eastAsia" w:eastAsia="黑体"/>
                <w:sz w:val="24"/>
              </w:rPr>
              <w:t>完成额</w:t>
            </w:r>
          </w:p>
        </w:tc>
        <w:tc>
          <w:tcPr>
            <w:tcW w:w="992" w:type="dxa"/>
            <w:vAlign w:val="center"/>
          </w:tcPr>
          <w:p>
            <w:pPr>
              <w:tabs>
                <w:tab w:val="left" w:pos="8640"/>
              </w:tabs>
              <w:jc w:val="center"/>
              <w:rPr>
                <w:rFonts w:eastAsia="黑体"/>
                <w:sz w:val="24"/>
              </w:rPr>
            </w:pPr>
            <w:r>
              <w:rPr>
                <w:rFonts w:hint="eastAsia"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1</w:t>
            </w:r>
          </w:p>
        </w:tc>
        <w:tc>
          <w:tcPr>
            <w:tcW w:w="1701"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pPr>
              <w:jc w:val="center"/>
              <w:rPr>
                <w:rFonts w:eastAsia="仿宋_GB2312"/>
                <w:sz w:val="24"/>
              </w:rPr>
            </w:pPr>
            <w:r>
              <w:rPr>
                <w:rFonts w:eastAsia="仿宋_GB2312"/>
                <w:sz w:val="24"/>
              </w:rPr>
              <w:t>35</w:t>
            </w:r>
          </w:p>
        </w:tc>
        <w:tc>
          <w:tcPr>
            <w:tcW w:w="1134" w:type="dxa"/>
            <w:vAlign w:val="center"/>
          </w:tcPr>
          <w:p>
            <w:pPr>
              <w:jc w:val="center"/>
              <w:rPr>
                <w:rFonts w:eastAsia="仿宋_GB2312"/>
                <w:sz w:val="24"/>
              </w:rPr>
            </w:pPr>
            <w:r>
              <w:rPr>
                <w:rFonts w:eastAsia="仿宋_GB2312"/>
                <w:sz w:val="24"/>
              </w:rPr>
              <w:t>32.52</w:t>
            </w:r>
          </w:p>
        </w:tc>
        <w:tc>
          <w:tcPr>
            <w:tcW w:w="992" w:type="dxa"/>
            <w:vAlign w:val="center"/>
          </w:tcPr>
          <w:p>
            <w:pPr>
              <w:jc w:val="center"/>
              <w:rPr>
                <w:rFonts w:eastAsia="仿宋_GB2312"/>
                <w:sz w:val="24"/>
              </w:rPr>
            </w:pPr>
            <w:r>
              <w:rPr>
                <w:rFonts w:hint="eastAsia" w:eastAsia="仿宋_GB2312"/>
                <w:sz w:val="24"/>
              </w:rPr>
              <w:t>30.70</w:t>
            </w:r>
          </w:p>
        </w:tc>
        <w:tc>
          <w:tcPr>
            <w:tcW w:w="992" w:type="dxa"/>
            <w:vAlign w:val="center"/>
          </w:tcPr>
          <w:p>
            <w:pPr>
              <w:jc w:val="center"/>
              <w:rPr>
                <w:rFonts w:eastAsia="仿宋_GB2312"/>
                <w:sz w:val="24"/>
              </w:rPr>
            </w:pPr>
            <w:r>
              <w:rPr>
                <w:rFonts w:hint="eastAsia" w:eastAsia="仿宋_GB2312"/>
                <w:sz w:val="24"/>
              </w:rPr>
              <w:t xml:space="preserve">94.4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20</w:t>
            </w:r>
          </w:p>
        </w:tc>
        <w:tc>
          <w:tcPr>
            <w:tcW w:w="992" w:type="dxa"/>
            <w:vAlign w:val="center"/>
          </w:tcPr>
          <w:p>
            <w:pPr>
              <w:jc w:val="center"/>
              <w:rPr>
                <w:rFonts w:eastAsia="仿宋_GB2312"/>
                <w:sz w:val="24"/>
              </w:rPr>
            </w:pPr>
            <w:r>
              <w:rPr>
                <w:rFonts w:hint="eastAsia" w:eastAsia="仿宋_GB2312"/>
                <w:sz w:val="24"/>
              </w:rPr>
              <w:t xml:space="preserve">24.02 </w:t>
            </w:r>
          </w:p>
        </w:tc>
        <w:tc>
          <w:tcPr>
            <w:tcW w:w="992" w:type="dxa"/>
            <w:vAlign w:val="center"/>
          </w:tcPr>
          <w:p>
            <w:pPr>
              <w:jc w:val="center"/>
              <w:rPr>
                <w:rFonts w:eastAsia="仿宋_GB2312"/>
                <w:sz w:val="24"/>
              </w:rPr>
            </w:pPr>
            <w:r>
              <w:rPr>
                <w:rFonts w:hint="eastAsia" w:eastAsia="仿宋_GB2312"/>
                <w:sz w:val="24"/>
              </w:rPr>
              <w:t xml:space="preserve">94.4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2</w:t>
            </w:r>
          </w:p>
        </w:tc>
        <w:tc>
          <w:tcPr>
            <w:tcW w:w="1701"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pPr>
              <w:jc w:val="center"/>
              <w:rPr>
                <w:rFonts w:eastAsia="仿宋_GB2312"/>
                <w:sz w:val="24"/>
              </w:rPr>
            </w:pPr>
            <w:r>
              <w:rPr>
                <w:rFonts w:eastAsia="仿宋_GB2312"/>
                <w:sz w:val="24"/>
              </w:rPr>
              <w:t>68</w:t>
            </w:r>
          </w:p>
        </w:tc>
        <w:tc>
          <w:tcPr>
            <w:tcW w:w="1134" w:type="dxa"/>
            <w:vAlign w:val="center"/>
          </w:tcPr>
          <w:p>
            <w:pPr>
              <w:jc w:val="center"/>
              <w:rPr>
                <w:rFonts w:eastAsia="仿宋_GB2312"/>
                <w:sz w:val="24"/>
              </w:rPr>
            </w:pPr>
            <w:r>
              <w:rPr>
                <w:rFonts w:eastAsia="仿宋_GB2312"/>
                <w:sz w:val="24"/>
              </w:rPr>
              <w:t>317.54</w:t>
            </w:r>
          </w:p>
        </w:tc>
        <w:tc>
          <w:tcPr>
            <w:tcW w:w="992" w:type="dxa"/>
            <w:vAlign w:val="center"/>
          </w:tcPr>
          <w:p>
            <w:pPr>
              <w:jc w:val="center"/>
              <w:rPr>
                <w:rFonts w:eastAsia="仿宋_GB2312"/>
                <w:sz w:val="24"/>
              </w:rPr>
            </w:pPr>
            <w:r>
              <w:rPr>
                <w:rFonts w:hint="eastAsia" w:eastAsia="仿宋_GB2312"/>
                <w:sz w:val="24"/>
              </w:rPr>
              <w:t>265.85</w:t>
            </w:r>
          </w:p>
        </w:tc>
        <w:tc>
          <w:tcPr>
            <w:tcW w:w="992" w:type="dxa"/>
            <w:vAlign w:val="center"/>
          </w:tcPr>
          <w:p>
            <w:pPr>
              <w:jc w:val="center"/>
              <w:rPr>
                <w:rFonts w:eastAsia="仿宋_GB2312"/>
                <w:sz w:val="24"/>
              </w:rPr>
            </w:pPr>
            <w:r>
              <w:rPr>
                <w:rFonts w:hint="eastAsia" w:eastAsia="仿宋_GB2312"/>
                <w:sz w:val="24"/>
              </w:rPr>
              <w:t xml:space="preserve">83.7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32.6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49</w:t>
            </w:r>
          </w:p>
        </w:tc>
        <w:tc>
          <w:tcPr>
            <w:tcW w:w="992" w:type="dxa"/>
            <w:vAlign w:val="center"/>
          </w:tcPr>
          <w:p>
            <w:pPr>
              <w:jc w:val="center"/>
              <w:rPr>
                <w:rFonts w:eastAsia="仿宋_GB2312"/>
                <w:sz w:val="24"/>
              </w:rPr>
            </w:pPr>
            <w:r>
              <w:rPr>
                <w:rFonts w:hint="eastAsia" w:eastAsia="仿宋_GB2312"/>
                <w:sz w:val="24"/>
              </w:rPr>
              <w:t xml:space="preserve">242.90 </w:t>
            </w:r>
          </w:p>
        </w:tc>
        <w:tc>
          <w:tcPr>
            <w:tcW w:w="992" w:type="dxa"/>
            <w:vAlign w:val="center"/>
          </w:tcPr>
          <w:p>
            <w:pPr>
              <w:jc w:val="center"/>
              <w:rPr>
                <w:rFonts w:eastAsia="仿宋_GB2312"/>
                <w:sz w:val="24"/>
              </w:rPr>
            </w:pPr>
            <w:r>
              <w:rPr>
                <w:rFonts w:hint="eastAsia" w:eastAsia="仿宋_GB2312"/>
                <w:sz w:val="24"/>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3</w:t>
            </w:r>
          </w:p>
        </w:tc>
        <w:tc>
          <w:tcPr>
            <w:tcW w:w="1701"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pPr>
              <w:jc w:val="center"/>
              <w:rPr>
                <w:rFonts w:eastAsia="仿宋_GB2312"/>
                <w:sz w:val="24"/>
              </w:rPr>
            </w:pPr>
            <w:r>
              <w:rPr>
                <w:rFonts w:eastAsia="仿宋_GB2312"/>
                <w:sz w:val="24"/>
              </w:rPr>
              <w:t>11</w:t>
            </w:r>
          </w:p>
        </w:tc>
        <w:tc>
          <w:tcPr>
            <w:tcW w:w="1134" w:type="dxa"/>
            <w:vAlign w:val="center"/>
          </w:tcPr>
          <w:p>
            <w:pPr>
              <w:jc w:val="center"/>
              <w:rPr>
                <w:rFonts w:eastAsia="仿宋_GB2312"/>
                <w:sz w:val="24"/>
              </w:rPr>
            </w:pPr>
            <w:r>
              <w:rPr>
                <w:rFonts w:eastAsia="仿宋_GB2312"/>
                <w:sz w:val="24"/>
              </w:rPr>
              <w:t>35.99</w:t>
            </w:r>
          </w:p>
        </w:tc>
        <w:tc>
          <w:tcPr>
            <w:tcW w:w="992" w:type="dxa"/>
            <w:vAlign w:val="center"/>
          </w:tcPr>
          <w:p>
            <w:pPr>
              <w:jc w:val="center"/>
              <w:rPr>
                <w:rFonts w:eastAsia="仿宋_GB2312"/>
                <w:sz w:val="24"/>
              </w:rPr>
            </w:pPr>
            <w:r>
              <w:rPr>
                <w:rFonts w:hint="eastAsia" w:eastAsia="仿宋_GB2312"/>
                <w:sz w:val="24"/>
              </w:rPr>
              <w:t>34.14</w:t>
            </w:r>
          </w:p>
        </w:tc>
        <w:tc>
          <w:tcPr>
            <w:tcW w:w="992" w:type="dxa"/>
            <w:vAlign w:val="center"/>
          </w:tcPr>
          <w:p>
            <w:pPr>
              <w:jc w:val="center"/>
              <w:rPr>
                <w:rFonts w:eastAsia="仿宋_GB2312"/>
                <w:sz w:val="24"/>
              </w:rPr>
            </w:pPr>
            <w:r>
              <w:rPr>
                <w:rFonts w:hint="eastAsia" w:eastAsia="仿宋_GB2312"/>
                <w:sz w:val="24"/>
              </w:rPr>
              <w:t xml:space="preserve">94.8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7</w:t>
            </w:r>
          </w:p>
        </w:tc>
        <w:tc>
          <w:tcPr>
            <w:tcW w:w="992" w:type="dxa"/>
            <w:vAlign w:val="center"/>
          </w:tcPr>
          <w:p>
            <w:pPr>
              <w:jc w:val="center"/>
              <w:rPr>
                <w:rFonts w:eastAsia="仿宋_GB2312"/>
                <w:sz w:val="24"/>
              </w:rPr>
            </w:pPr>
            <w:r>
              <w:rPr>
                <w:rFonts w:hint="eastAsia" w:eastAsia="仿宋_GB2312"/>
                <w:sz w:val="24"/>
              </w:rPr>
              <w:t xml:space="preserve">29.78 </w:t>
            </w:r>
          </w:p>
        </w:tc>
        <w:tc>
          <w:tcPr>
            <w:tcW w:w="992" w:type="dxa"/>
            <w:vAlign w:val="center"/>
          </w:tcPr>
          <w:p>
            <w:pPr>
              <w:jc w:val="center"/>
              <w:rPr>
                <w:rFonts w:eastAsia="仿宋_GB2312"/>
                <w:sz w:val="24"/>
              </w:rPr>
            </w:pPr>
            <w:r>
              <w:rPr>
                <w:rFonts w:hint="eastAsia" w:eastAsia="仿宋_GB2312"/>
                <w:sz w:val="24"/>
              </w:rPr>
              <w:t xml:space="preserve">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4</w:t>
            </w:r>
          </w:p>
        </w:tc>
        <w:tc>
          <w:tcPr>
            <w:tcW w:w="1701"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pPr>
              <w:jc w:val="center"/>
              <w:rPr>
                <w:rFonts w:eastAsia="仿宋_GB2312"/>
                <w:sz w:val="24"/>
              </w:rPr>
            </w:pPr>
            <w:r>
              <w:rPr>
                <w:rFonts w:eastAsia="仿宋_GB2312"/>
                <w:sz w:val="24"/>
              </w:rPr>
              <w:t>42</w:t>
            </w:r>
          </w:p>
        </w:tc>
        <w:tc>
          <w:tcPr>
            <w:tcW w:w="1134" w:type="dxa"/>
            <w:vAlign w:val="center"/>
          </w:tcPr>
          <w:p>
            <w:pPr>
              <w:jc w:val="center"/>
              <w:rPr>
                <w:rFonts w:eastAsia="仿宋_GB2312"/>
                <w:sz w:val="24"/>
              </w:rPr>
            </w:pPr>
            <w:r>
              <w:rPr>
                <w:rFonts w:eastAsia="仿宋_GB2312"/>
                <w:sz w:val="24"/>
              </w:rPr>
              <w:t>76.85</w:t>
            </w:r>
          </w:p>
        </w:tc>
        <w:tc>
          <w:tcPr>
            <w:tcW w:w="992" w:type="dxa"/>
            <w:vAlign w:val="center"/>
          </w:tcPr>
          <w:p>
            <w:pPr>
              <w:jc w:val="center"/>
              <w:rPr>
                <w:rFonts w:eastAsia="仿宋_GB2312"/>
                <w:sz w:val="24"/>
              </w:rPr>
            </w:pPr>
            <w:r>
              <w:rPr>
                <w:rFonts w:hint="eastAsia" w:eastAsia="仿宋_GB2312"/>
                <w:sz w:val="24"/>
              </w:rPr>
              <w:t>85.26</w:t>
            </w:r>
          </w:p>
        </w:tc>
        <w:tc>
          <w:tcPr>
            <w:tcW w:w="992" w:type="dxa"/>
            <w:vAlign w:val="center"/>
          </w:tcPr>
          <w:p>
            <w:pPr>
              <w:jc w:val="center"/>
              <w:rPr>
                <w:rFonts w:eastAsia="仿宋_GB2312"/>
                <w:sz w:val="24"/>
              </w:rPr>
            </w:pPr>
            <w:r>
              <w:rPr>
                <w:rFonts w:hint="eastAsia" w:eastAsia="仿宋_GB2312"/>
                <w:sz w:val="24"/>
              </w:rPr>
              <w:t xml:space="preserve">110.9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10.5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28</w:t>
            </w:r>
          </w:p>
        </w:tc>
        <w:tc>
          <w:tcPr>
            <w:tcW w:w="992" w:type="dxa"/>
            <w:shd w:val="clear" w:color="auto" w:fill="auto"/>
            <w:vAlign w:val="center"/>
          </w:tcPr>
          <w:p>
            <w:pPr>
              <w:jc w:val="center"/>
              <w:rPr>
                <w:rFonts w:eastAsia="仿宋_GB2312"/>
                <w:sz w:val="24"/>
              </w:rPr>
            </w:pPr>
            <w:r>
              <w:rPr>
                <w:rFonts w:hint="eastAsia" w:eastAsia="仿宋_GB2312"/>
                <w:sz w:val="24"/>
              </w:rPr>
              <w:t xml:space="preserve">74.89 </w:t>
            </w:r>
          </w:p>
        </w:tc>
        <w:tc>
          <w:tcPr>
            <w:tcW w:w="992" w:type="dxa"/>
            <w:shd w:val="clear" w:color="auto" w:fill="auto"/>
            <w:vAlign w:val="center"/>
          </w:tcPr>
          <w:p>
            <w:pPr>
              <w:jc w:val="center"/>
              <w:rPr>
                <w:rFonts w:eastAsia="仿宋_GB2312"/>
                <w:sz w:val="24"/>
              </w:rPr>
            </w:pPr>
            <w:r>
              <w:rPr>
                <w:rFonts w:hint="eastAsia" w:eastAsia="仿宋_GB2312"/>
                <w:sz w:val="24"/>
              </w:rPr>
              <w:t xml:space="preserve">112.6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5</w:t>
            </w:r>
          </w:p>
        </w:tc>
        <w:tc>
          <w:tcPr>
            <w:tcW w:w="1701"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pPr>
              <w:jc w:val="center"/>
              <w:rPr>
                <w:rFonts w:eastAsia="仿宋_GB2312"/>
                <w:sz w:val="24"/>
              </w:rPr>
            </w:pPr>
            <w:r>
              <w:rPr>
                <w:rFonts w:eastAsia="仿宋_GB2312"/>
                <w:sz w:val="24"/>
              </w:rPr>
              <w:t>46</w:t>
            </w:r>
          </w:p>
        </w:tc>
        <w:tc>
          <w:tcPr>
            <w:tcW w:w="1134" w:type="dxa"/>
            <w:vAlign w:val="center"/>
          </w:tcPr>
          <w:p>
            <w:pPr>
              <w:jc w:val="center"/>
              <w:rPr>
                <w:rFonts w:eastAsia="仿宋_GB2312"/>
                <w:sz w:val="24"/>
              </w:rPr>
            </w:pPr>
            <w:r>
              <w:rPr>
                <w:rFonts w:eastAsia="仿宋_GB2312"/>
                <w:sz w:val="24"/>
              </w:rPr>
              <w:t>46.19</w:t>
            </w:r>
          </w:p>
        </w:tc>
        <w:tc>
          <w:tcPr>
            <w:tcW w:w="992" w:type="dxa"/>
            <w:vAlign w:val="center"/>
          </w:tcPr>
          <w:p>
            <w:pPr>
              <w:jc w:val="center"/>
              <w:rPr>
                <w:rFonts w:eastAsia="仿宋_GB2312"/>
                <w:sz w:val="24"/>
              </w:rPr>
            </w:pPr>
            <w:r>
              <w:rPr>
                <w:rFonts w:hint="eastAsia" w:eastAsia="仿宋_GB2312"/>
                <w:sz w:val="24"/>
              </w:rPr>
              <w:t>39.21</w:t>
            </w:r>
          </w:p>
        </w:tc>
        <w:tc>
          <w:tcPr>
            <w:tcW w:w="992" w:type="dxa"/>
            <w:vAlign w:val="center"/>
          </w:tcPr>
          <w:p>
            <w:pPr>
              <w:jc w:val="center"/>
              <w:rPr>
                <w:rFonts w:eastAsia="仿宋_GB2312"/>
                <w:sz w:val="24"/>
              </w:rPr>
            </w:pPr>
            <w:r>
              <w:rPr>
                <w:rFonts w:hint="eastAsia" w:eastAsia="仿宋_GB2312"/>
                <w:sz w:val="24"/>
              </w:rPr>
              <w:t xml:space="preserve">84.9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17</w:t>
            </w:r>
          </w:p>
        </w:tc>
        <w:tc>
          <w:tcPr>
            <w:tcW w:w="992" w:type="dxa"/>
            <w:vAlign w:val="center"/>
          </w:tcPr>
          <w:p>
            <w:pPr>
              <w:jc w:val="center"/>
              <w:rPr>
                <w:rFonts w:eastAsia="仿宋_GB2312"/>
                <w:sz w:val="24"/>
              </w:rPr>
            </w:pPr>
            <w:r>
              <w:rPr>
                <w:rFonts w:hint="eastAsia" w:eastAsia="仿宋_GB2312"/>
                <w:sz w:val="24"/>
              </w:rPr>
              <w:t xml:space="preserve">22.94 </w:t>
            </w:r>
          </w:p>
        </w:tc>
        <w:tc>
          <w:tcPr>
            <w:tcW w:w="992" w:type="dxa"/>
            <w:vAlign w:val="center"/>
          </w:tcPr>
          <w:p>
            <w:pPr>
              <w:jc w:val="center"/>
              <w:rPr>
                <w:rFonts w:eastAsia="仿宋_GB2312"/>
                <w:sz w:val="24"/>
              </w:rPr>
            </w:pPr>
            <w:r>
              <w:rPr>
                <w:rFonts w:hint="eastAsia" w:eastAsia="仿宋_GB2312"/>
                <w:sz w:val="24"/>
              </w:rPr>
              <w:t xml:space="preserve">77.6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6</w:t>
            </w:r>
          </w:p>
        </w:tc>
        <w:tc>
          <w:tcPr>
            <w:tcW w:w="1701"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pPr>
              <w:jc w:val="center"/>
              <w:rPr>
                <w:rFonts w:eastAsia="仿宋_GB2312"/>
                <w:sz w:val="24"/>
              </w:rPr>
            </w:pPr>
            <w:r>
              <w:rPr>
                <w:rFonts w:eastAsia="仿宋_GB2312"/>
                <w:sz w:val="24"/>
              </w:rPr>
              <w:t>95</w:t>
            </w:r>
          </w:p>
        </w:tc>
        <w:tc>
          <w:tcPr>
            <w:tcW w:w="1134" w:type="dxa"/>
            <w:vAlign w:val="center"/>
          </w:tcPr>
          <w:p>
            <w:pPr>
              <w:jc w:val="center"/>
              <w:rPr>
                <w:rFonts w:eastAsia="仿宋_GB2312"/>
                <w:sz w:val="24"/>
              </w:rPr>
            </w:pPr>
            <w:r>
              <w:rPr>
                <w:rFonts w:eastAsia="仿宋_GB2312"/>
                <w:sz w:val="24"/>
              </w:rPr>
              <w:t>196.08</w:t>
            </w:r>
          </w:p>
        </w:tc>
        <w:tc>
          <w:tcPr>
            <w:tcW w:w="992" w:type="dxa"/>
            <w:vAlign w:val="center"/>
          </w:tcPr>
          <w:p>
            <w:pPr>
              <w:jc w:val="center"/>
              <w:rPr>
                <w:rFonts w:eastAsia="仿宋_GB2312"/>
                <w:sz w:val="24"/>
              </w:rPr>
            </w:pPr>
            <w:r>
              <w:rPr>
                <w:rFonts w:hint="eastAsia" w:eastAsia="仿宋_GB2312"/>
                <w:sz w:val="24"/>
              </w:rPr>
              <w:t>222.00</w:t>
            </w:r>
          </w:p>
        </w:tc>
        <w:tc>
          <w:tcPr>
            <w:tcW w:w="992" w:type="dxa"/>
            <w:vAlign w:val="center"/>
          </w:tcPr>
          <w:p>
            <w:pPr>
              <w:jc w:val="center"/>
              <w:rPr>
                <w:rFonts w:eastAsia="仿宋_GB2312"/>
                <w:sz w:val="24"/>
              </w:rPr>
            </w:pPr>
            <w:r>
              <w:rPr>
                <w:rFonts w:hint="eastAsia" w:eastAsia="仿宋_GB2312"/>
                <w:sz w:val="24"/>
              </w:rPr>
              <w:t xml:space="preserve">113.2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27.2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60</w:t>
            </w:r>
          </w:p>
        </w:tc>
        <w:tc>
          <w:tcPr>
            <w:tcW w:w="992" w:type="dxa"/>
            <w:vAlign w:val="center"/>
          </w:tcPr>
          <w:p>
            <w:pPr>
              <w:jc w:val="center"/>
              <w:rPr>
                <w:rFonts w:eastAsia="仿宋_GB2312"/>
                <w:sz w:val="24"/>
              </w:rPr>
            </w:pPr>
            <w:r>
              <w:rPr>
                <w:rFonts w:hint="eastAsia" w:eastAsia="仿宋_GB2312"/>
                <w:sz w:val="24"/>
              </w:rPr>
              <w:t xml:space="preserve">197.58 </w:t>
            </w:r>
          </w:p>
        </w:tc>
        <w:tc>
          <w:tcPr>
            <w:tcW w:w="992" w:type="dxa"/>
            <w:vAlign w:val="center"/>
          </w:tcPr>
          <w:p>
            <w:pPr>
              <w:jc w:val="center"/>
              <w:rPr>
                <w:rFonts w:eastAsia="仿宋_GB2312"/>
                <w:sz w:val="24"/>
              </w:rPr>
            </w:pPr>
            <w:r>
              <w:rPr>
                <w:rFonts w:hint="eastAsia" w:eastAsia="仿宋_GB2312"/>
                <w:sz w:val="24"/>
              </w:rPr>
              <w:t xml:space="preserve">113.8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7</w:t>
            </w:r>
          </w:p>
        </w:tc>
        <w:tc>
          <w:tcPr>
            <w:tcW w:w="1701"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pPr>
              <w:jc w:val="center"/>
              <w:rPr>
                <w:rFonts w:eastAsia="仿宋_GB2312"/>
                <w:sz w:val="24"/>
              </w:rPr>
            </w:pPr>
            <w:r>
              <w:rPr>
                <w:rFonts w:eastAsia="仿宋_GB2312"/>
                <w:sz w:val="24"/>
              </w:rPr>
              <w:t>59</w:t>
            </w:r>
          </w:p>
        </w:tc>
        <w:tc>
          <w:tcPr>
            <w:tcW w:w="1134" w:type="dxa"/>
            <w:vAlign w:val="center"/>
          </w:tcPr>
          <w:p>
            <w:pPr>
              <w:jc w:val="center"/>
              <w:rPr>
                <w:rFonts w:eastAsia="仿宋_GB2312"/>
                <w:sz w:val="24"/>
              </w:rPr>
            </w:pPr>
            <w:r>
              <w:rPr>
                <w:rFonts w:eastAsia="仿宋_GB2312"/>
                <w:sz w:val="24"/>
              </w:rPr>
              <w:t>126.00</w:t>
            </w:r>
          </w:p>
        </w:tc>
        <w:tc>
          <w:tcPr>
            <w:tcW w:w="992" w:type="dxa"/>
            <w:vAlign w:val="center"/>
          </w:tcPr>
          <w:p>
            <w:pPr>
              <w:jc w:val="center"/>
              <w:rPr>
                <w:rFonts w:eastAsia="仿宋_GB2312"/>
                <w:sz w:val="24"/>
              </w:rPr>
            </w:pPr>
            <w:r>
              <w:rPr>
                <w:rFonts w:hint="eastAsia" w:eastAsia="仿宋_GB2312"/>
                <w:sz w:val="24"/>
              </w:rPr>
              <w:t>137.79</w:t>
            </w:r>
          </w:p>
        </w:tc>
        <w:tc>
          <w:tcPr>
            <w:tcW w:w="992" w:type="dxa"/>
            <w:vAlign w:val="center"/>
          </w:tcPr>
          <w:p>
            <w:pPr>
              <w:jc w:val="center"/>
              <w:rPr>
                <w:rFonts w:eastAsia="仿宋_GB2312"/>
                <w:sz w:val="24"/>
              </w:rPr>
            </w:pPr>
            <w:r>
              <w:rPr>
                <w:rFonts w:hint="eastAsia" w:eastAsia="仿宋_GB2312"/>
                <w:sz w:val="24"/>
              </w:rPr>
              <w:t xml:space="preserve">109.4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16.9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42</w:t>
            </w:r>
          </w:p>
        </w:tc>
        <w:tc>
          <w:tcPr>
            <w:tcW w:w="992" w:type="dxa"/>
            <w:shd w:val="clear" w:color="auto" w:fill="auto"/>
            <w:vAlign w:val="center"/>
          </w:tcPr>
          <w:p>
            <w:pPr>
              <w:jc w:val="center"/>
              <w:rPr>
                <w:rFonts w:eastAsia="仿宋_GB2312"/>
                <w:sz w:val="24"/>
              </w:rPr>
            </w:pPr>
            <w:r>
              <w:rPr>
                <w:rFonts w:hint="eastAsia" w:eastAsia="仿宋_GB2312"/>
                <w:sz w:val="24"/>
              </w:rPr>
              <w:t xml:space="preserve">126.22 </w:t>
            </w:r>
          </w:p>
        </w:tc>
        <w:tc>
          <w:tcPr>
            <w:tcW w:w="992" w:type="dxa"/>
            <w:shd w:val="clear" w:color="auto" w:fill="auto"/>
            <w:vAlign w:val="center"/>
          </w:tcPr>
          <w:p>
            <w:pPr>
              <w:jc w:val="center"/>
              <w:rPr>
                <w:rFonts w:eastAsia="仿宋_GB2312"/>
                <w:sz w:val="24"/>
              </w:rPr>
            </w:pPr>
            <w:r>
              <w:rPr>
                <w:rFonts w:hint="eastAsia" w:eastAsia="仿宋_GB2312"/>
                <w:sz w:val="24"/>
              </w:rPr>
              <w:t xml:space="preserve">112.7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sz w:val="24"/>
              </w:rPr>
            </w:pPr>
            <w:r>
              <w:rPr>
                <w:rFonts w:eastAsia="仿宋_GB2312"/>
                <w:b/>
                <w:sz w:val="24"/>
              </w:rPr>
              <w:t>合计</w:t>
            </w:r>
          </w:p>
        </w:tc>
        <w:tc>
          <w:tcPr>
            <w:tcW w:w="851" w:type="dxa"/>
            <w:shd w:val="clear" w:color="auto" w:fill="auto"/>
            <w:vAlign w:val="center"/>
          </w:tcPr>
          <w:p>
            <w:pPr>
              <w:jc w:val="center"/>
              <w:rPr>
                <w:rFonts w:eastAsia="仿宋_GB2312"/>
                <w:b/>
                <w:sz w:val="24"/>
              </w:rPr>
            </w:pPr>
            <w:r>
              <w:rPr>
                <w:rFonts w:eastAsia="仿宋_GB2312"/>
                <w:b/>
                <w:sz w:val="24"/>
              </w:rPr>
              <w:t>356</w:t>
            </w:r>
          </w:p>
        </w:tc>
        <w:tc>
          <w:tcPr>
            <w:tcW w:w="1134" w:type="dxa"/>
            <w:shd w:val="clear" w:color="auto" w:fill="auto"/>
            <w:vAlign w:val="center"/>
          </w:tcPr>
          <w:p>
            <w:pPr>
              <w:jc w:val="center"/>
              <w:rPr>
                <w:rFonts w:eastAsia="仿宋_GB2312"/>
                <w:b/>
                <w:sz w:val="24"/>
              </w:rPr>
            </w:pPr>
            <w:r>
              <w:rPr>
                <w:rFonts w:eastAsia="仿宋_GB2312"/>
                <w:b/>
                <w:sz w:val="24"/>
              </w:rPr>
              <w:t>831.17</w:t>
            </w:r>
          </w:p>
        </w:tc>
        <w:tc>
          <w:tcPr>
            <w:tcW w:w="992" w:type="dxa"/>
            <w:shd w:val="clear" w:color="auto" w:fill="auto"/>
            <w:vAlign w:val="center"/>
          </w:tcPr>
          <w:p>
            <w:pPr>
              <w:jc w:val="center"/>
              <w:rPr>
                <w:rFonts w:eastAsia="仿宋_GB2312"/>
                <w:b/>
                <w:sz w:val="24"/>
              </w:rPr>
            </w:pPr>
            <w:r>
              <w:rPr>
                <w:rFonts w:hint="eastAsia" w:eastAsia="仿宋_GB2312"/>
                <w:b/>
                <w:sz w:val="24"/>
              </w:rPr>
              <w:t>814.95</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98.0</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223</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718.33 </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97.6 </w:t>
            </w:r>
          </w:p>
        </w:tc>
      </w:tr>
    </w:tbl>
    <w:p>
      <w:pPr>
        <w:tabs>
          <w:tab w:val="left" w:pos="8640"/>
        </w:tabs>
        <w:spacing w:line="600" w:lineRule="exact"/>
        <w:rPr>
          <w:rFonts w:eastAsia="仿宋_GB2312"/>
          <w:sz w:val="32"/>
          <w:szCs w:val="32"/>
        </w:rPr>
      </w:pPr>
      <w:r>
        <w:rPr>
          <w:rFonts w:eastAsia="仿宋_GB2312"/>
          <w:sz w:val="32"/>
          <w:szCs w:val="32"/>
        </w:rPr>
        <w:br w:type="page"/>
      </w:r>
    </w:p>
    <w:p>
      <w:pPr>
        <w:tabs>
          <w:tab w:val="left" w:pos="8640"/>
        </w:tabs>
        <w:spacing w:line="500" w:lineRule="exact"/>
        <w:ind w:right="480"/>
        <w:jc w:val="left"/>
        <w:rPr>
          <w:rFonts w:eastAsia="黑体"/>
          <w:sz w:val="36"/>
          <w:szCs w:val="36"/>
        </w:rPr>
      </w:pPr>
      <w:r>
        <w:rPr>
          <w:rFonts w:hint="eastAsia" w:eastAsia="黑体"/>
          <w:sz w:val="32"/>
          <w:szCs w:val="32"/>
        </w:rPr>
        <w:t>附件2</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2018年市重点建设项目分区域完成情况表</w:t>
      </w:r>
      <w:r>
        <w:rPr>
          <w:rFonts w:hint="eastAsia" w:eastAsia="楷体_GB2312"/>
          <w:sz w:val="32"/>
          <w:szCs w:val="32"/>
        </w:rPr>
        <w:t>（1-10月）</w:t>
      </w:r>
    </w:p>
    <w:p>
      <w:pPr>
        <w:tabs>
          <w:tab w:val="left" w:pos="8640"/>
        </w:tabs>
        <w:spacing w:line="500" w:lineRule="exact"/>
        <w:ind w:firstLine="7560" w:firstLineChars="3150"/>
        <w:rPr>
          <w:rFonts w:eastAsia="楷体_GB2312"/>
          <w:sz w:val="24"/>
        </w:rPr>
      </w:pPr>
      <w:r>
        <w:rPr>
          <w:rFonts w:hint="eastAsia" w:eastAsia="楷体_GB2312"/>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6"/>
        <w:gridCol w:w="1701"/>
        <w:gridCol w:w="1701"/>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416"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项目个数</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843"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完成投资</w:t>
            </w:r>
          </w:p>
        </w:tc>
        <w:tc>
          <w:tcPr>
            <w:tcW w:w="1775"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52.32</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143.8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90.90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36.58</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12.46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70.11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63.05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67.76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15.24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34.63</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11.99</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42.77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24.10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18.14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540.05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 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274.90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814.95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 xml:space="preserve">98.0 </w:t>
            </w:r>
          </w:p>
        </w:tc>
      </w:tr>
    </w:tbl>
    <w:p>
      <w:pPr>
        <w:tabs>
          <w:tab w:val="left" w:pos="8640"/>
        </w:tabs>
        <w:spacing w:line="500" w:lineRule="exact"/>
        <w:ind w:firstLine="7560" w:firstLineChars="3150"/>
        <w:rPr>
          <w:rFonts w:eastAsia="楷体_GB2312"/>
          <w:sz w:val="24"/>
        </w:rPr>
      </w:pPr>
    </w:p>
    <w:p>
      <w:pPr>
        <w:snapToGrid w:val="0"/>
        <w:spacing w:line="360" w:lineRule="exact"/>
        <w:rPr>
          <w:rFonts w:eastAsia="黑体"/>
          <w:sz w:val="32"/>
          <w:szCs w:val="32"/>
        </w:rPr>
      </w:pPr>
      <w:r>
        <w:rPr>
          <w:rFonts w:eastAsia="黑体"/>
          <w:sz w:val="32"/>
          <w:szCs w:val="32"/>
        </w:rPr>
        <w:br w:type="page"/>
      </w:r>
      <w:r>
        <w:rPr>
          <w:rFonts w:hint="eastAsia" w:eastAsia="黑体"/>
          <w:sz w:val="32"/>
          <w:szCs w:val="32"/>
        </w:rPr>
        <w:t>附件3</w:t>
      </w:r>
    </w:p>
    <w:p>
      <w:pPr>
        <w:tabs>
          <w:tab w:val="left" w:pos="8640"/>
        </w:tabs>
        <w:spacing w:before="120" w:beforeLines="50" w:line="600" w:lineRule="exact"/>
        <w:jc w:val="center"/>
        <w:rPr>
          <w:rFonts w:eastAsia="方正小标宋简体"/>
          <w:sz w:val="44"/>
          <w:szCs w:val="44"/>
        </w:rPr>
      </w:pPr>
      <w:r>
        <w:rPr>
          <w:rFonts w:hint="eastAsia" w:eastAsia="方正小标宋简体"/>
          <w:spacing w:val="-20"/>
          <w:sz w:val="36"/>
          <w:szCs w:val="36"/>
        </w:rPr>
        <w:t>2018年5亿元以上重大项目</w:t>
      </w:r>
      <w:r>
        <w:rPr>
          <w:rFonts w:eastAsia="方正小标宋简体"/>
          <w:spacing w:val="-20"/>
          <w:sz w:val="36"/>
          <w:szCs w:val="36"/>
        </w:rPr>
        <w:t>分区域完成情况表</w:t>
      </w:r>
      <w:r>
        <w:rPr>
          <w:rFonts w:hint="eastAsia" w:eastAsia="楷体_GB2312"/>
          <w:sz w:val="32"/>
          <w:szCs w:val="32"/>
        </w:rPr>
        <w:t>（1-10月）</w:t>
      </w:r>
    </w:p>
    <w:p>
      <w:pPr>
        <w:tabs>
          <w:tab w:val="left" w:pos="8640"/>
        </w:tabs>
        <w:spacing w:line="500" w:lineRule="exact"/>
        <w:ind w:firstLine="7560" w:firstLineChars="3150"/>
        <w:rPr>
          <w:rFonts w:eastAsia="楷体_GB2312"/>
          <w:sz w:val="24"/>
        </w:rPr>
      </w:pPr>
      <w:r>
        <w:rPr>
          <w:rFonts w:eastAsia="楷体_GB2312"/>
          <w:sz w:val="24"/>
        </w:rPr>
        <w:t>单位：亿元、%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44"/>
        <w:gridCol w:w="851"/>
        <w:gridCol w:w="851"/>
        <w:gridCol w:w="691"/>
        <w:gridCol w:w="850"/>
        <w:gridCol w:w="851"/>
        <w:gridCol w:w="910"/>
        <w:gridCol w:w="933"/>
        <w:gridCol w:w="99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restart"/>
            <w:vAlign w:val="center"/>
          </w:tcPr>
          <w:p>
            <w:pPr>
              <w:spacing w:line="240" w:lineRule="exact"/>
              <w:jc w:val="center"/>
              <w:rPr>
                <w:rFonts w:eastAsia="黑体"/>
                <w:szCs w:val="21"/>
              </w:rPr>
            </w:pPr>
            <w:r>
              <w:rPr>
                <w:rFonts w:eastAsia="黑体"/>
                <w:szCs w:val="21"/>
              </w:rPr>
              <w:t>单位</w:t>
            </w:r>
          </w:p>
        </w:tc>
        <w:tc>
          <w:tcPr>
            <w:tcW w:w="744" w:type="dxa"/>
            <w:vMerge w:val="restart"/>
            <w:vAlign w:val="center"/>
          </w:tcPr>
          <w:p>
            <w:pPr>
              <w:spacing w:line="240" w:lineRule="exact"/>
              <w:jc w:val="center"/>
              <w:rPr>
                <w:rFonts w:eastAsia="黑体"/>
                <w:szCs w:val="21"/>
              </w:rPr>
            </w:pPr>
            <w:r>
              <w:rPr>
                <w:rFonts w:eastAsia="黑体"/>
                <w:szCs w:val="21"/>
              </w:rPr>
              <w:t>项目个数</w:t>
            </w:r>
          </w:p>
        </w:tc>
        <w:tc>
          <w:tcPr>
            <w:tcW w:w="851" w:type="dxa"/>
            <w:vMerge w:val="restart"/>
            <w:vAlign w:val="center"/>
          </w:tcPr>
          <w:p>
            <w:pPr>
              <w:spacing w:line="240" w:lineRule="exact"/>
              <w:jc w:val="center"/>
              <w:rPr>
                <w:rFonts w:eastAsia="黑体"/>
                <w:szCs w:val="21"/>
              </w:rPr>
            </w:pPr>
            <w:r>
              <w:rPr>
                <w:rFonts w:eastAsia="黑体"/>
                <w:szCs w:val="21"/>
              </w:rPr>
              <w:t>年度计划投资</w:t>
            </w:r>
          </w:p>
        </w:tc>
        <w:tc>
          <w:tcPr>
            <w:tcW w:w="851" w:type="dxa"/>
            <w:vMerge w:val="restart"/>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691" w:type="dxa"/>
            <w:vMerge w:val="restart"/>
            <w:tcBorders>
              <w:right w:val="double" w:color="auto" w:sz="6" w:space="0"/>
            </w:tcBorders>
            <w:vAlign w:val="center"/>
          </w:tcPr>
          <w:p>
            <w:pPr>
              <w:spacing w:line="240" w:lineRule="exact"/>
              <w:jc w:val="center"/>
              <w:rPr>
                <w:rFonts w:eastAsia="黑体"/>
                <w:szCs w:val="21"/>
              </w:rPr>
            </w:pPr>
            <w:r>
              <w:rPr>
                <w:rFonts w:eastAsia="黑体"/>
                <w:szCs w:val="21"/>
              </w:rPr>
              <w:t>投资完成率</w:t>
            </w:r>
          </w:p>
        </w:tc>
        <w:tc>
          <w:tcPr>
            <w:tcW w:w="5446" w:type="dxa"/>
            <w:gridSpan w:val="6"/>
            <w:tcBorders>
              <w:left w:val="double" w:color="auto" w:sz="6" w:space="0"/>
            </w:tcBorders>
            <w:vAlign w:val="center"/>
          </w:tcPr>
          <w:p>
            <w:pPr>
              <w:spacing w:line="240" w:lineRule="exact"/>
              <w:jc w:val="center"/>
              <w:rPr>
                <w:rFonts w:eastAsia="黑体"/>
                <w:szCs w:val="21"/>
              </w:rPr>
            </w:pPr>
            <w:r>
              <w:rPr>
                <w:rFonts w:hint="eastAsia" w:eastAsia="黑体"/>
                <w:szCs w:val="21"/>
              </w:rPr>
              <w:t>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szCs w:val="21"/>
              </w:rPr>
            </w:pPr>
          </w:p>
        </w:tc>
        <w:tc>
          <w:tcPr>
            <w:tcW w:w="744" w:type="dxa"/>
            <w:vMerge w:val="continue"/>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691" w:type="dxa"/>
            <w:vMerge w:val="continue"/>
            <w:tcBorders>
              <w:right w:val="double" w:color="auto" w:sz="6" w:space="0"/>
            </w:tcBorders>
            <w:vAlign w:val="center"/>
          </w:tcPr>
          <w:p>
            <w:pPr>
              <w:spacing w:line="240" w:lineRule="exact"/>
              <w:jc w:val="center"/>
              <w:rPr>
                <w:rFonts w:eastAsia="黑体"/>
                <w:szCs w:val="21"/>
              </w:rPr>
            </w:pPr>
          </w:p>
        </w:tc>
        <w:tc>
          <w:tcPr>
            <w:tcW w:w="850" w:type="dxa"/>
            <w:vMerge w:val="restart"/>
            <w:tcBorders>
              <w:left w:val="double" w:color="auto" w:sz="6"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851" w:type="dxa"/>
            <w:vMerge w:val="restart"/>
            <w:vAlign w:val="center"/>
          </w:tcPr>
          <w:p>
            <w:pPr>
              <w:spacing w:line="240" w:lineRule="exact"/>
              <w:jc w:val="center"/>
              <w:rPr>
                <w:rFonts w:eastAsia="黑体"/>
                <w:szCs w:val="21"/>
              </w:rPr>
            </w:pPr>
            <w:r>
              <w:rPr>
                <w:rFonts w:hint="eastAsia" w:eastAsia="黑体"/>
                <w:szCs w:val="21"/>
              </w:rPr>
              <w:t>完成率</w:t>
            </w:r>
          </w:p>
        </w:tc>
        <w:tc>
          <w:tcPr>
            <w:tcW w:w="1843" w:type="dxa"/>
            <w:gridSpan w:val="2"/>
            <w:vAlign w:val="center"/>
          </w:tcPr>
          <w:p>
            <w:pPr>
              <w:spacing w:line="240" w:lineRule="exact"/>
              <w:jc w:val="center"/>
              <w:rPr>
                <w:rFonts w:eastAsia="仿宋_GB2312"/>
                <w:szCs w:val="21"/>
              </w:rPr>
            </w:pPr>
            <w:r>
              <w:rPr>
                <w:rFonts w:hint="eastAsia" w:eastAsia="仿宋_GB2312"/>
                <w:szCs w:val="21"/>
              </w:rPr>
              <w:t>工业项目</w:t>
            </w:r>
          </w:p>
        </w:tc>
        <w:tc>
          <w:tcPr>
            <w:tcW w:w="1902" w:type="dxa"/>
            <w:gridSpan w:val="2"/>
            <w:vAlign w:val="center"/>
          </w:tcPr>
          <w:p>
            <w:pPr>
              <w:spacing w:line="240" w:lineRule="exact"/>
              <w:jc w:val="center"/>
              <w:rPr>
                <w:rFonts w:eastAsia="仿宋_GB2312"/>
                <w:szCs w:val="21"/>
              </w:rPr>
            </w:pPr>
            <w:r>
              <w:rPr>
                <w:rFonts w:hint="eastAsia" w:eastAsia="仿宋_GB2312"/>
                <w:szCs w:val="21"/>
              </w:rPr>
              <w:t>服务业项目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vAlign w:val="center"/>
          </w:tcPr>
          <w:p>
            <w:pPr>
              <w:spacing w:line="240" w:lineRule="exact"/>
              <w:jc w:val="center"/>
              <w:rPr>
                <w:rFonts w:eastAsia="黑体"/>
                <w:sz w:val="24"/>
              </w:rPr>
            </w:pPr>
          </w:p>
        </w:tc>
        <w:tc>
          <w:tcPr>
            <w:tcW w:w="744" w:type="dxa"/>
            <w:vMerge w:val="continue"/>
            <w:vAlign w:val="center"/>
          </w:tcPr>
          <w:p>
            <w:pPr>
              <w:spacing w:line="240" w:lineRule="exact"/>
              <w:jc w:val="center"/>
              <w:rPr>
                <w:rFonts w:eastAsia="黑体"/>
                <w:sz w:val="24"/>
              </w:rPr>
            </w:pPr>
          </w:p>
        </w:tc>
        <w:tc>
          <w:tcPr>
            <w:tcW w:w="851" w:type="dxa"/>
            <w:vMerge w:val="continue"/>
            <w:vAlign w:val="center"/>
          </w:tcPr>
          <w:p>
            <w:pPr>
              <w:spacing w:line="240" w:lineRule="exact"/>
              <w:jc w:val="center"/>
              <w:rPr>
                <w:rFonts w:eastAsia="仿宋_GB2312"/>
                <w:kern w:val="0"/>
                <w:szCs w:val="21"/>
              </w:rPr>
            </w:pPr>
          </w:p>
        </w:tc>
        <w:tc>
          <w:tcPr>
            <w:tcW w:w="851" w:type="dxa"/>
            <w:vMerge w:val="continue"/>
            <w:vAlign w:val="center"/>
          </w:tcPr>
          <w:p>
            <w:pPr>
              <w:spacing w:line="240" w:lineRule="exact"/>
              <w:jc w:val="center"/>
              <w:rPr>
                <w:rFonts w:eastAsia="仿宋_GB2312"/>
                <w:kern w:val="0"/>
                <w:szCs w:val="21"/>
              </w:rPr>
            </w:pPr>
          </w:p>
        </w:tc>
        <w:tc>
          <w:tcPr>
            <w:tcW w:w="691" w:type="dxa"/>
            <w:vMerge w:val="continue"/>
            <w:tcBorders>
              <w:right w:val="double" w:color="auto" w:sz="6" w:space="0"/>
            </w:tcBorders>
            <w:vAlign w:val="center"/>
          </w:tcPr>
          <w:p>
            <w:pPr>
              <w:spacing w:line="240" w:lineRule="exact"/>
              <w:jc w:val="center"/>
              <w:rPr>
                <w:rFonts w:eastAsia="仿宋_GB2312"/>
                <w:kern w:val="0"/>
                <w:szCs w:val="21"/>
              </w:rPr>
            </w:pPr>
          </w:p>
        </w:tc>
        <w:tc>
          <w:tcPr>
            <w:tcW w:w="850" w:type="dxa"/>
            <w:vMerge w:val="continue"/>
            <w:tcBorders>
              <w:left w:val="double" w:color="auto" w:sz="6" w:space="0"/>
            </w:tcBorders>
            <w:vAlign w:val="center"/>
          </w:tcPr>
          <w:p>
            <w:pPr>
              <w:spacing w:line="240" w:lineRule="exact"/>
              <w:jc w:val="center"/>
              <w:rPr>
                <w:rFonts w:eastAsia="黑体"/>
                <w:szCs w:val="21"/>
              </w:rPr>
            </w:pPr>
          </w:p>
        </w:tc>
        <w:tc>
          <w:tcPr>
            <w:tcW w:w="851" w:type="dxa"/>
            <w:vMerge w:val="continue"/>
            <w:vAlign w:val="center"/>
          </w:tcPr>
          <w:p>
            <w:pPr>
              <w:spacing w:line="240" w:lineRule="exact"/>
              <w:jc w:val="center"/>
              <w:rPr>
                <w:rFonts w:eastAsia="黑体"/>
                <w:szCs w:val="21"/>
              </w:rPr>
            </w:pPr>
          </w:p>
        </w:tc>
        <w:tc>
          <w:tcPr>
            <w:tcW w:w="910" w:type="dxa"/>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33" w:type="dxa"/>
            <w:vAlign w:val="center"/>
          </w:tcPr>
          <w:p>
            <w:pPr>
              <w:spacing w:line="240" w:lineRule="exact"/>
              <w:jc w:val="center"/>
              <w:rPr>
                <w:rFonts w:eastAsia="仿宋_GB2312"/>
                <w:spacing w:val="-20"/>
                <w:szCs w:val="21"/>
              </w:rPr>
            </w:pPr>
            <w:r>
              <w:rPr>
                <w:rFonts w:hint="eastAsia" w:eastAsia="仿宋_GB2312"/>
                <w:spacing w:val="-20"/>
                <w:szCs w:val="21"/>
              </w:rPr>
              <w:t>完成率</w:t>
            </w:r>
          </w:p>
        </w:tc>
        <w:tc>
          <w:tcPr>
            <w:tcW w:w="992" w:type="dxa"/>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10" w:type="dxa"/>
            <w:vAlign w:val="center"/>
          </w:tcPr>
          <w:p>
            <w:pPr>
              <w:spacing w:line="240" w:lineRule="exact"/>
              <w:jc w:val="center"/>
              <w:rPr>
                <w:rFonts w:eastAsia="仿宋_GB2312"/>
                <w:spacing w:val="-20"/>
                <w:szCs w:val="21"/>
              </w:rPr>
            </w:pPr>
            <w:r>
              <w:rPr>
                <w:rFonts w:hint="eastAsia" w:eastAsia="仿宋_GB2312"/>
                <w:spacing w:val="-20"/>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鹿城区</w:t>
            </w:r>
          </w:p>
        </w:tc>
        <w:tc>
          <w:tcPr>
            <w:tcW w:w="744" w:type="dxa"/>
            <w:vAlign w:val="center"/>
          </w:tcPr>
          <w:p>
            <w:pPr>
              <w:spacing w:line="240" w:lineRule="exact"/>
              <w:jc w:val="center"/>
              <w:rPr>
                <w:rFonts w:eastAsia="仿宋_GB2312"/>
                <w:kern w:val="0"/>
                <w:szCs w:val="21"/>
              </w:rPr>
            </w:pPr>
            <w:r>
              <w:rPr>
                <w:rFonts w:eastAsia="仿宋_GB2312"/>
                <w:kern w:val="0"/>
                <w:szCs w:val="21"/>
              </w:rPr>
              <w:t>19</w:t>
            </w:r>
          </w:p>
        </w:tc>
        <w:tc>
          <w:tcPr>
            <w:tcW w:w="851" w:type="dxa"/>
            <w:vAlign w:val="center"/>
          </w:tcPr>
          <w:p>
            <w:pPr>
              <w:spacing w:line="240" w:lineRule="exact"/>
              <w:jc w:val="center"/>
              <w:rPr>
                <w:rFonts w:eastAsia="仿宋_GB2312"/>
                <w:kern w:val="0"/>
                <w:szCs w:val="21"/>
              </w:rPr>
            </w:pPr>
            <w:r>
              <w:rPr>
                <w:rFonts w:eastAsia="仿宋_GB2312"/>
                <w:kern w:val="0"/>
                <w:szCs w:val="21"/>
              </w:rPr>
              <w:t>30.26</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46.73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154.4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7.80</w:t>
            </w:r>
          </w:p>
        </w:tc>
        <w:tc>
          <w:tcPr>
            <w:tcW w:w="851" w:type="dxa"/>
            <w:vAlign w:val="center"/>
          </w:tcPr>
          <w:p>
            <w:pPr>
              <w:spacing w:line="240" w:lineRule="exact"/>
              <w:jc w:val="center"/>
              <w:rPr>
                <w:rFonts w:cs="Calibri"/>
                <w:color w:val="000000"/>
                <w:szCs w:val="21"/>
              </w:rPr>
            </w:pPr>
            <w:r>
              <w:rPr>
                <w:rFonts w:hint="eastAsia" w:cs="Calibri"/>
                <w:color w:val="000000"/>
                <w:szCs w:val="21"/>
              </w:rPr>
              <w:t>145.8</w:t>
            </w:r>
          </w:p>
        </w:tc>
        <w:tc>
          <w:tcPr>
            <w:tcW w:w="910" w:type="dxa"/>
            <w:vAlign w:val="center"/>
          </w:tcPr>
          <w:p>
            <w:pPr>
              <w:spacing w:line="240" w:lineRule="exact"/>
              <w:jc w:val="center"/>
              <w:rPr>
                <w:rFonts w:cs="Calibri"/>
                <w:color w:val="000000"/>
                <w:szCs w:val="21"/>
              </w:rPr>
            </w:pPr>
            <w:r>
              <w:rPr>
                <w:rFonts w:hint="eastAsia" w:cs="Calibri"/>
                <w:color w:val="000000"/>
                <w:szCs w:val="21"/>
              </w:rPr>
              <w:t>—</w:t>
            </w:r>
          </w:p>
        </w:tc>
        <w:tc>
          <w:tcPr>
            <w:tcW w:w="933" w:type="dxa"/>
            <w:vAlign w:val="center"/>
          </w:tcPr>
          <w:p>
            <w:pPr>
              <w:spacing w:line="240" w:lineRule="exact"/>
              <w:jc w:val="center"/>
              <w:rPr>
                <w:rFonts w:cs="Calibri"/>
                <w:color w:val="000000"/>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7.80</w:t>
            </w:r>
          </w:p>
        </w:tc>
        <w:tc>
          <w:tcPr>
            <w:tcW w:w="910" w:type="dxa"/>
            <w:vAlign w:val="center"/>
          </w:tcPr>
          <w:p>
            <w:pPr>
              <w:spacing w:line="240" w:lineRule="exact"/>
              <w:jc w:val="center"/>
              <w:rPr>
                <w:rFonts w:cs="Calibri"/>
                <w:color w:val="000000"/>
                <w:szCs w:val="21"/>
              </w:rPr>
            </w:pPr>
            <w:r>
              <w:rPr>
                <w:rFonts w:hint="eastAsia" w:cs="Calibri"/>
                <w:color w:val="000000"/>
                <w:szCs w:val="21"/>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龙湾区</w:t>
            </w:r>
          </w:p>
        </w:tc>
        <w:tc>
          <w:tcPr>
            <w:tcW w:w="744" w:type="dxa"/>
            <w:vAlign w:val="center"/>
          </w:tcPr>
          <w:p>
            <w:pPr>
              <w:spacing w:line="240" w:lineRule="exact"/>
              <w:jc w:val="center"/>
              <w:rPr>
                <w:rFonts w:eastAsia="仿宋_GB2312"/>
                <w:kern w:val="0"/>
                <w:szCs w:val="21"/>
              </w:rPr>
            </w:pPr>
            <w:r>
              <w:rPr>
                <w:rFonts w:eastAsia="仿宋_GB2312"/>
                <w:kern w:val="0"/>
                <w:szCs w:val="21"/>
              </w:rPr>
              <w:t>22</w:t>
            </w:r>
          </w:p>
        </w:tc>
        <w:tc>
          <w:tcPr>
            <w:tcW w:w="851" w:type="dxa"/>
            <w:vAlign w:val="center"/>
          </w:tcPr>
          <w:p>
            <w:pPr>
              <w:spacing w:line="240" w:lineRule="exact"/>
              <w:jc w:val="center"/>
              <w:rPr>
                <w:rFonts w:eastAsia="仿宋_GB2312"/>
                <w:kern w:val="0"/>
                <w:szCs w:val="21"/>
              </w:rPr>
            </w:pPr>
            <w:r>
              <w:rPr>
                <w:rFonts w:eastAsia="仿宋_GB2312"/>
                <w:kern w:val="0"/>
                <w:szCs w:val="21"/>
              </w:rPr>
              <w:t>75.80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86.15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113.6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29.00</w:t>
            </w:r>
          </w:p>
        </w:tc>
        <w:tc>
          <w:tcPr>
            <w:tcW w:w="851" w:type="dxa"/>
            <w:vAlign w:val="center"/>
          </w:tcPr>
          <w:p>
            <w:pPr>
              <w:spacing w:line="240" w:lineRule="exact"/>
              <w:jc w:val="center"/>
              <w:rPr>
                <w:rFonts w:cs="Calibri"/>
                <w:color w:val="000000"/>
                <w:szCs w:val="21"/>
              </w:rPr>
            </w:pPr>
            <w:r>
              <w:rPr>
                <w:rFonts w:hint="eastAsia" w:cs="Calibri"/>
                <w:color w:val="000000"/>
                <w:szCs w:val="21"/>
              </w:rPr>
              <w:t>95.1</w:t>
            </w:r>
          </w:p>
        </w:tc>
        <w:tc>
          <w:tcPr>
            <w:tcW w:w="910" w:type="dxa"/>
            <w:vAlign w:val="center"/>
          </w:tcPr>
          <w:p>
            <w:pPr>
              <w:spacing w:line="240" w:lineRule="exact"/>
              <w:jc w:val="center"/>
              <w:rPr>
                <w:rFonts w:cs="Calibri"/>
                <w:color w:val="000000"/>
                <w:szCs w:val="21"/>
              </w:rPr>
            </w:pPr>
            <w:r>
              <w:rPr>
                <w:rFonts w:hint="eastAsia" w:cs="Calibri"/>
                <w:color w:val="000000"/>
                <w:szCs w:val="21"/>
              </w:rPr>
              <w:t>7.30</w:t>
            </w:r>
          </w:p>
        </w:tc>
        <w:tc>
          <w:tcPr>
            <w:tcW w:w="933" w:type="dxa"/>
            <w:vAlign w:val="center"/>
          </w:tcPr>
          <w:p>
            <w:pPr>
              <w:spacing w:line="240" w:lineRule="exact"/>
              <w:jc w:val="center"/>
              <w:rPr>
                <w:rFonts w:cs="Calibri"/>
                <w:color w:val="000000"/>
                <w:szCs w:val="21"/>
              </w:rPr>
            </w:pPr>
            <w:r>
              <w:rPr>
                <w:rFonts w:hint="eastAsia" w:cs="Calibri"/>
                <w:color w:val="000000"/>
                <w:szCs w:val="21"/>
              </w:rPr>
              <w:t>97.3</w:t>
            </w:r>
          </w:p>
        </w:tc>
        <w:tc>
          <w:tcPr>
            <w:tcW w:w="992" w:type="dxa"/>
            <w:vAlign w:val="center"/>
          </w:tcPr>
          <w:p>
            <w:pPr>
              <w:spacing w:line="240" w:lineRule="exact"/>
              <w:jc w:val="center"/>
              <w:rPr>
                <w:rFonts w:cs="Calibri"/>
                <w:color w:val="000000"/>
                <w:szCs w:val="21"/>
              </w:rPr>
            </w:pPr>
            <w:r>
              <w:rPr>
                <w:rFonts w:hint="eastAsia" w:cs="Calibri"/>
                <w:color w:val="000000"/>
                <w:szCs w:val="21"/>
              </w:rPr>
              <w:t>21.71</w:t>
            </w:r>
          </w:p>
        </w:tc>
        <w:tc>
          <w:tcPr>
            <w:tcW w:w="910" w:type="dxa"/>
            <w:vAlign w:val="center"/>
          </w:tcPr>
          <w:p>
            <w:pPr>
              <w:spacing w:line="240" w:lineRule="exact"/>
              <w:jc w:val="center"/>
              <w:rPr>
                <w:rFonts w:cs="Calibri"/>
                <w:color w:val="000000"/>
                <w:szCs w:val="21"/>
              </w:rPr>
            </w:pPr>
            <w:r>
              <w:rPr>
                <w:rFonts w:hint="eastAsia" w:cs="Calibri"/>
                <w:color w:val="00000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瓯海区</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22.90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21.27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92.9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4.32</w:t>
            </w:r>
          </w:p>
        </w:tc>
        <w:tc>
          <w:tcPr>
            <w:tcW w:w="851" w:type="dxa"/>
            <w:vAlign w:val="center"/>
          </w:tcPr>
          <w:p>
            <w:pPr>
              <w:spacing w:line="240" w:lineRule="exact"/>
              <w:jc w:val="center"/>
              <w:rPr>
                <w:rFonts w:cs="Calibri"/>
                <w:color w:val="000000"/>
                <w:szCs w:val="21"/>
              </w:rPr>
            </w:pPr>
            <w:r>
              <w:rPr>
                <w:rFonts w:hint="eastAsia" w:cs="Calibri"/>
                <w:color w:val="000000"/>
                <w:szCs w:val="21"/>
              </w:rPr>
              <w:t>81.5</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4.32</w:t>
            </w:r>
          </w:p>
        </w:tc>
        <w:tc>
          <w:tcPr>
            <w:tcW w:w="910" w:type="dxa"/>
            <w:vAlign w:val="center"/>
          </w:tcPr>
          <w:p>
            <w:pPr>
              <w:spacing w:line="240" w:lineRule="exact"/>
              <w:jc w:val="center"/>
              <w:rPr>
                <w:rFonts w:cs="Calibri"/>
                <w:color w:val="000000"/>
                <w:szCs w:val="21"/>
              </w:rPr>
            </w:pPr>
            <w:r>
              <w:rPr>
                <w:rFonts w:hint="eastAsia" w:cs="Calibri"/>
                <w:color w:val="000000"/>
                <w:szCs w:val="21"/>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洞头区</w:t>
            </w:r>
          </w:p>
        </w:tc>
        <w:tc>
          <w:tcPr>
            <w:tcW w:w="744" w:type="dxa"/>
            <w:vAlign w:val="center"/>
          </w:tcPr>
          <w:p>
            <w:pPr>
              <w:spacing w:line="240" w:lineRule="exact"/>
              <w:jc w:val="center"/>
              <w:rPr>
                <w:rFonts w:eastAsia="仿宋_GB2312"/>
                <w:kern w:val="0"/>
                <w:szCs w:val="21"/>
              </w:rPr>
            </w:pPr>
            <w:r>
              <w:rPr>
                <w:rFonts w:eastAsia="仿宋_GB2312"/>
                <w:kern w:val="0"/>
                <w:szCs w:val="21"/>
              </w:rPr>
              <w:t>4</w:t>
            </w:r>
          </w:p>
        </w:tc>
        <w:tc>
          <w:tcPr>
            <w:tcW w:w="851" w:type="dxa"/>
            <w:vAlign w:val="center"/>
          </w:tcPr>
          <w:p>
            <w:pPr>
              <w:spacing w:line="240" w:lineRule="exact"/>
              <w:jc w:val="center"/>
              <w:rPr>
                <w:rFonts w:eastAsia="仿宋_GB2312"/>
                <w:kern w:val="0"/>
                <w:szCs w:val="21"/>
              </w:rPr>
            </w:pPr>
            <w:r>
              <w:rPr>
                <w:rFonts w:eastAsia="仿宋_GB2312"/>
                <w:kern w:val="0"/>
                <w:szCs w:val="21"/>
              </w:rPr>
              <w:t>5.90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4.97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84.3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2.59</w:t>
            </w:r>
          </w:p>
        </w:tc>
        <w:tc>
          <w:tcPr>
            <w:tcW w:w="851" w:type="dxa"/>
            <w:vAlign w:val="center"/>
          </w:tcPr>
          <w:p>
            <w:pPr>
              <w:spacing w:line="240" w:lineRule="exact"/>
              <w:jc w:val="center"/>
              <w:rPr>
                <w:rFonts w:cs="Calibri"/>
                <w:color w:val="000000"/>
                <w:szCs w:val="21"/>
              </w:rPr>
            </w:pPr>
            <w:r>
              <w:rPr>
                <w:rFonts w:hint="eastAsia" w:cs="Calibri"/>
                <w:color w:val="000000"/>
                <w:szCs w:val="21"/>
              </w:rPr>
              <w:t>86.4</w:t>
            </w:r>
          </w:p>
        </w:tc>
        <w:tc>
          <w:tcPr>
            <w:tcW w:w="910" w:type="dxa"/>
            <w:vAlign w:val="center"/>
          </w:tcPr>
          <w:p>
            <w:pPr>
              <w:spacing w:line="240" w:lineRule="exact"/>
              <w:jc w:val="center"/>
              <w:rPr>
                <w:rFonts w:cs="Calibri"/>
                <w:color w:val="000000"/>
                <w:szCs w:val="21"/>
              </w:rPr>
            </w:pPr>
            <w:r>
              <w:rPr>
                <w:rFonts w:hint="eastAsia" w:cs="Calibri"/>
                <w:color w:val="000000"/>
                <w:szCs w:val="21"/>
              </w:rPr>
              <w:t>2.59</w:t>
            </w:r>
          </w:p>
        </w:tc>
        <w:tc>
          <w:tcPr>
            <w:tcW w:w="933" w:type="dxa"/>
            <w:vAlign w:val="center"/>
          </w:tcPr>
          <w:p>
            <w:pPr>
              <w:spacing w:line="240" w:lineRule="exact"/>
              <w:jc w:val="center"/>
              <w:rPr>
                <w:rFonts w:cs="Calibri"/>
                <w:color w:val="000000"/>
                <w:szCs w:val="21"/>
              </w:rPr>
            </w:pPr>
            <w:r>
              <w:rPr>
                <w:rFonts w:hint="eastAsia" w:cs="Calibri"/>
                <w:color w:val="000000"/>
                <w:szCs w:val="21"/>
              </w:rPr>
              <w:t>86.4</w:t>
            </w:r>
          </w:p>
        </w:tc>
        <w:tc>
          <w:tcPr>
            <w:tcW w:w="992" w:type="dxa"/>
            <w:vAlign w:val="center"/>
          </w:tcPr>
          <w:p>
            <w:pPr>
              <w:spacing w:line="240" w:lineRule="exact"/>
              <w:jc w:val="center"/>
              <w:rPr>
                <w:szCs w:val="21"/>
              </w:rPr>
            </w:pPr>
            <w:r>
              <w:rPr>
                <w:rFonts w:hint="eastAsia" w:cs="Calibri"/>
                <w:color w:val="000000"/>
                <w:szCs w:val="21"/>
              </w:rPr>
              <w:t>—</w:t>
            </w:r>
          </w:p>
        </w:tc>
        <w:tc>
          <w:tcPr>
            <w:tcW w:w="910" w:type="dxa"/>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乐清市</w:t>
            </w:r>
          </w:p>
        </w:tc>
        <w:tc>
          <w:tcPr>
            <w:tcW w:w="744" w:type="dxa"/>
            <w:vAlign w:val="center"/>
          </w:tcPr>
          <w:p>
            <w:pPr>
              <w:spacing w:line="240" w:lineRule="exact"/>
              <w:jc w:val="center"/>
              <w:rPr>
                <w:rFonts w:eastAsia="仿宋_GB2312"/>
                <w:kern w:val="0"/>
                <w:szCs w:val="21"/>
              </w:rPr>
            </w:pPr>
            <w:r>
              <w:rPr>
                <w:rFonts w:eastAsia="仿宋_GB2312"/>
                <w:kern w:val="0"/>
                <w:szCs w:val="21"/>
              </w:rPr>
              <w:t>21</w:t>
            </w:r>
          </w:p>
        </w:tc>
        <w:tc>
          <w:tcPr>
            <w:tcW w:w="851" w:type="dxa"/>
            <w:vAlign w:val="center"/>
          </w:tcPr>
          <w:p>
            <w:pPr>
              <w:spacing w:line="240" w:lineRule="exact"/>
              <w:jc w:val="center"/>
              <w:rPr>
                <w:rFonts w:eastAsia="仿宋_GB2312"/>
                <w:kern w:val="0"/>
                <w:szCs w:val="21"/>
              </w:rPr>
            </w:pPr>
            <w:r>
              <w:rPr>
                <w:rFonts w:eastAsia="仿宋_GB2312"/>
                <w:kern w:val="0"/>
                <w:szCs w:val="21"/>
              </w:rPr>
              <w:t>52.10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62.36</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119.7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47.43</w:t>
            </w:r>
          </w:p>
        </w:tc>
        <w:tc>
          <w:tcPr>
            <w:tcW w:w="851" w:type="dxa"/>
            <w:vAlign w:val="center"/>
          </w:tcPr>
          <w:p>
            <w:pPr>
              <w:spacing w:line="240" w:lineRule="exact"/>
              <w:jc w:val="center"/>
              <w:rPr>
                <w:rFonts w:cs="Calibri"/>
                <w:color w:val="000000"/>
                <w:szCs w:val="21"/>
              </w:rPr>
            </w:pPr>
            <w:r>
              <w:rPr>
                <w:rFonts w:hint="eastAsia" w:cs="Calibri"/>
                <w:color w:val="000000"/>
                <w:szCs w:val="21"/>
              </w:rPr>
              <w:t>118.6</w:t>
            </w:r>
          </w:p>
        </w:tc>
        <w:tc>
          <w:tcPr>
            <w:tcW w:w="910" w:type="dxa"/>
            <w:vAlign w:val="center"/>
          </w:tcPr>
          <w:p>
            <w:pPr>
              <w:spacing w:line="240" w:lineRule="exact"/>
              <w:jc w:val="center"/>
              <w:rPr>
                <w:rFonts w:cs="Calibri"/>
                <w:color w:val="000000"/>
                <w:szCs w:val="21"/>
              </w:rPr>
            </w:pPr>
            <w:r>
              <w:rPr>
                <w:rFonts w:hint="eastAsia" w:cs="Calibri"/>
                <w:color w:val="000000"/>
                <w:szCs w:val="21"/>
              </w:rPr>
              <w:t>17.14</w:t>
            </w:r>
          </w:p>
        </w:tc>
        <w:tc>
          <w:tcPr>
            <w:tcW w:w="933" w:type="dxa"/>
            <w:vAlign w:val="center"/>
          </w:tcPr>
          <w:p>
            <w:pPr>
              <w:spacing w:line="240" w:lineRule="exact"/>
              <w:jc w:val="center"/>
              <w:rPr>
                <w:rFonts w:cs="Calibri"/>
                <w:color w:val="000000"/>
                <w:szCs w:val="21"/>
              </w:rPr>
            </w:pPr>
            <w:r>
              <w:rPr>
                <w:rFonts w:hint="eastAsia" w:cs="Calibri"/>
                <w:color w:val="000000"/>
                <w:szCs w:val="21"/>
              </w:rPr>
              <w:t>122.4</w:t>
            </w:r>
          </w:p>
        </w:tc>
        <w:tc>
          <w:tcPr>
            <w:tcW w:w="992" w:type="dxa"/>
            <w:vAlign w:val="center"/>
          </w:tcPr>
          <w:p>
            <w:pPr>
              <w:spacing w:line="240" w:lineRule="exact"/>
              <w:jc w:val="center"/>
              <w:rPr>
                <w:rFonts w:cs="Calibri"/>
                <w:color w:val="000000"/>
                <w:szCs w:val="21"/>
              </w:rPr>
            </w:pPr>
            <w:r>
              <w:rPr>
                <w:rFonts w:hint="eastAsia" w:cs="Calibri"/>
                <w:color w:val="000000"/>
                <w:szCs w:val="21"/>
              </w:rPr>
              <w:t>30.29</w:t>
            </w:r>
          </w:p>
        </w:tc>
        <w:tc>
          <w:tcPr>
            <w:tcW w:w="910" w:type="dxa"/>
            <w:vAlign w:val="center"/>
          </w:tcPr>
          <w:p>
            <w:pPr>
              <w:spacing w:line="240" w:lineRule="exact"/>
              <w:jc w:val="center"/>
              <w:rPr>
                <w:rFonts w:cs="Calibri"/>
                <w:color w:val="000000"/>
                <w:szCs w:val="21"/>
              </w:rPr>
            </w:pPr>
            <w:r>
              <w:rPr>
                <w:rFonts w:hint="eastAsia" w:cs="Calibri"/>
                <w:color w:val="000000"/>
                <w:szCs w:val="21"/>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瑞安市</w:t>
            </w:r>
          </w:p>
        </w:tc>
        <w:tc>
          <w:tcPr>
            <w:tcW w:w="744" w:type="dxa"/>
            <w:vAlign w:val="center"/>
          </w:tcPr>
          <w:p>
            <w:pPr>
              <w:spacing w:line="240" w:lineRule="exact"/>
              <w:jc w:val="center"/>
              <w:rPr>
                <w:rFonts w:eastAsia="仿宋_GB2312"/>
                <w:kern w:val="0"/>
                <w:szCs w:val="21"/>
              </w:rPr>
            </w:pPr>
            <w:r>
              <w:rPr>
                <w:rFonts w:eastAsia="仿宋_GB2312"/>
                <w:kern w:val="0"/>
                <w:szCs w:val="21"/>
              </w:rPr>
              <w:t>25</w:t>
            </w:r>
          </w:p>
        </w:tc>
        <w:tc>
          <w:tcPr>
            <w:tcW w:w="851" w:type="dxa"/>
            <w:vAlign w:val="center"/>
          </w:tcPr>
          <w:p>
            <w:pPr>
              <w:spacing w:line="240" w:lineRule="exact"/>
              <w:jc w:val="center"/>
              <w:rPr>
                <w:rFonts w:eastAsia="仿宋_GB2312"/>
                <w:kern w:val="0"/>
                <w:szCs w:val="21"/>
              </w:rPr>
            </w:pPr>
            <w:r>
              <w:rPr>
                <w:rFonts w:eastAsia="仿宋_GB2312"/>
                <w:kern w:val="0"/>
                <w:szCs w:val="21"/>
              </w:rPr>
              <w:t>38.25</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51.15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133.7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23.13</w:t>
            </w:r>
          </w:p>
        </w:tc>
        <w:tc>
          <w:tcPr>
            <w:tcW w:w="851" w:type="dxa"/>
            <w:vAlign w:val="center"/>
          </w:tcPr>
          <w:p>
            <w:pPr>
              <w:spacing w:line="240" w:lineRule="exact"/>
              <w:jc w:val="center"/>
              <w:rPr>
                <w:rFonts w:cs="Calibri"/>
                <w:color w:val="000000"/>
                <w:szCs w:val="21"/>
              </w:rPr>
            </w:pPr>
            <w:r>
              <w:rPr>
                <w:rFonts w:hint="eastAsia" w:cs="Calibri"/>
                <w:color w:val="000000"/>
                <w:szCs w:val="21"/>
              </w:rPr>
              <w:t>107.6</w:t>
            </w:r>
          </w:p>
        </w:tc>
        <w:tc>
          <w:tcPr>
            <w:tcW w:w="910" w:type="dxa"/>
            <w:vAlign w:val="center"/>
          </w:tcPr>
          <w:p>
            <w:pPr>
              <w:spacing w:line="240" w:lineRule="exact"/>
              <w:jc w:val="center"/>
              <w:rPr>
                <w:rFonts w:cs="Calibri"/>
                <w:color w:val="000000"/>
                <w:szCs w:val="21"/>
              </w:rPr>
            </w:pPr>
            <w:r>
              <w:rPr>
                <w:rFonts w:hint="eastAsia" w:cs="Calibri"/>
                <w:color w:val="000000"/>
                <w:szCs w:val="21"/>
              </w:rPr>
              <w:t>13.02</w:t>
            </w:r>
          </w:p>
        </w:tc>
        <w:tc>
          <w:tcPr>
            <w:tcW w:w="933" w:type="dxa"/>
            <w:vAlign w:val="center"/>
          </w:tcPr>
          <w:p>
            <w:pPr>
              <w:spacing w:line="240" w:lineRule="exact"/>
              <w:jc w:val="center"/>
              <w:rPr>
                <w:rFonts w:cs="Calibri"/>
                <w:color w:val="000000"/>
                <w:szCs w:val="21"/>
              </w:rPr>
            </w:pPr>
            <w:r>
              <w:rPr>
                <w:rFonts w:hint="eastAsia" w:cs="Calibri"/>
                <w:color w:val="000000"/>
                <w:szCs w:val="21"/>
              </w:rPr>
              <w:t>88.6</w:t>
            </w:r>
          </w:p>
        </w:tc>
        <w:tc>
          <w:tcPr>
            <w:tcW w:w="992" w:type="dxa"/>
            <w:vAlign w:val="center"/>
          </w:tcPr>
          <w:p>
            <w:pPr>
              <w:spacing w:line="240" w:lineRule="exact"/>
              <w:jc w:val="center"/>
              <w:rPr>
                <w:rFonts w:cs="Calibri"/>
                <w:color w:val="000000"/>
                <w:szCs w:val="21"/>
              </w:rPr>
            </w:pPr>
            <w:r>
              <w:rPr>
                <w:rFonts w:hint="eastAsia" w:cs="Calibri"/>
                <w:color w:val="000000"/>
                <w:szCs w:val="21"/>
              </w:rPr>
              <w:t>10.11</w:t>
            </w:r>
          </w:p>
        </w:tc>
        <w:tc>
          <w:tcPr>
            <w:tcW w:w="910" w:type="dxa"/>
            <w:vAlign w:val="center"/>
          </w:tcPr>
          <w:p>
            <w:pPr>
              <w:spacing w:line="240" w:lineRule="exact"/>
              <w:jc w:val="center"/>
              <w:rPr>
                <w:rFonts w:cs="Calibri"/>
                <w:color w:val="000000"/>
                <w:szCs w:val="21"/>
              </w:rPr>
            </w:pPr>
            <w:r>
              <w:rPr>
                <w:rFonts w:hint="eastAsia" w:cs="Calibri"/>
                <w:color w:val="000000"/>
                <w:szCs w:val="21"/>
              </w:rPr>
              <w:t>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永嘉县</w:t>
            </w:r>
          </w:p>
        </w:tc>
        <w:tc>
          <w:tcPr>
            <w:tcW w:w="744" w:type="dxa"/>
            <w:vAlign w:val="center"/>
          </w:tcPr>
          <w:p>
            <w:pPr>
              <w:spacing w:line="240" w:lineRule="exact"/>
              <w:jc w:val="center"/>
              <w:rPr>
                <w:rFonts w:eastAsia="仿宋_GB2312"/>
                <w:kern w:val="0"/>
                <w:szCs w:val="21"/>
              </w:rPr>
            </w:pPr>
            <w:r>
              <w:rPr>
                <w:rFonts w:eastAsia="仿宋_GB2312"/>
                <w:kern w:val="0"/>
                <w:szCs w:val="21"/>
              </w:rPr>
              <w:t>16</w:t>
            </w:r>
          </w:p>
        </w:tc>
        <w:tc>
          <w:tcPr>
            <w:tcW w:w="851" w:type="dxa"/>
            <w:vAlign w:val="center"/>
          </w:tcPr>
          <w:p>
            <w:pPr>
              <w:spacing w:line="240" w:lineRule="exact"/>
              <w:jc w:val="center"/>
              <w:rPr>
                <w:rFonts w:eastAsia="仿宋_GB2312"/>
                <w:kern w:val="0"/>
                <w:szCs w:val="21"/>
              </w:rPr>
            </w:pPr>
            <w:r>
              <w:rPr>
                <w:rFonts w:eastAsia="仿宋_GB2312"/>
                <w:kern w:val="0"/>
                <w:szCs w:val="21"/>
              </w:rPr>
              <w:t>64.30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65.12</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101.3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35.19</w:t>
            </w:r>
          </w:p>
        </w:tc>
        <w:tc>
          <w:tcPr>
            <w:tcW w:w="851" w:type="dxa"/>
            <w:vAlign w:val="center"/>
          </w:tcPr>
          <w:p>
            <w:pPr>
              <w:spacing w:line="240" w:lineRule="exact"/>
              <w:jc w:val="center"/>
              <w:rPr>
                <w:rFonts w:cs="Calibri"/>
                <w:color w:val="000000"/>
                <w:szCs w:val="21"/>
              </w:rPr>
            </w:pPr>
            <w:r>
              <w:rPr>
                <w:rFonts w:hint="eastAsia" w:cs="Calibri"/>
                <w:color w:val="000000"/>
                <w:szCs w:val="21"/>
              </w:rPr>
              <w:t>111.7</w:t>
            </w:r>
          </w:p>
        </w:tc>
        <w:tc>
          <w:tcPr>
            <w:tcW w:w="910" w:type="dxa"/>
            <w:vAlign w:val="center"/>
          </w:tcPr>
          <w:p>
            <w:pPr>
              <w:spacing w:line="240" w:lineRule="exact"/>
              <w:jc w:val="center"/>
              <w:rPr>
                <w:rFonts w:cs="Calibri"/>
                <w:color w:val="000000"/>
                <w:szCs w:val="21"/>
              </w:rPr>
            </w:pPr>
            <w:r>
              <w:rPr>
                <w:rFonts w:hint="eastAsia" w:cs="Calibri"/>
                <w:color w:val="000000"/>
                <w:szCs w:val="21"/>
              </w:rPr>
              <w:t>1.51</w:t>
            </w:r>
          </w:p>
        </w:tc>
        <w:tc>
          <w:tcPr>
            <w:tcW w:w="933" w:type="dxa"/>
            <w:vAlign w:val="center"/>
          </w:tcPr>
          <w:p>
            <w:pPr>
              <w:spacing w:line="240" w:lineRule="exact"/>
              <w:jc w:val="center"/>
              <w:rPr>
                <w:rFonts w:cs="Calibri"/>
                <w:color w:val="000000"/>
                <w:szCs w:val="21"/>
              </w:rPr>
            </w:pPr>
            <w:r>
              <w:rPr>
                <w:rFonts w:hint="eastAsia" w:cs="Calibri"/>
                <w:color w:val="000000"/>
                <w:szCs w:val="21"/>
              </w:rPr>
              <w:t>100.4</w:t>
            </w:r>
          </w:p>
        </w:tc>
        <w:tc>
          <w:tcPr>
            <w:tcW w:w="992" w:type="dxa"/>
            <w:vAlign w:val="center"/>
          </w:tcPr>
          <w:p>
            <w:pPr>
              <w:spacing w:line="240" w:lineRule="exact"/>
              <w:jc w:val="center"/>
              <w:rPr>
                <w:rFonts w:cs="Calibri"/>
                <w:color w:val="000000"/>
                <w:szCs w:val="21"/>
              </w:rPr>
            </w:pPr>
            <w:r>
              <w:rPr>
                <w:rFonts w:hint="eastAsia" w:cs="Calibri"/>
                <w:color w:val="000000"/>
                <w:szCs w:val="21"/>
              </w:rPr>
              <w:t>33.68</w:t>
            </w:r>
          </w:p>
        </w:tc>
        <w:tc>
          <w:tcPr>
            <w:tcW w:w="910" w:type="dxa"/>
            <w:vAlign w:val="center"/>
          </w:tcPr>
          <w:p>
            <w:pPr>
              <w:spacing w:line="240" w:lineRule="exact"/>
              <w:jc w:val="center"/>
              <w:rPr>
                <w:rFonts w:cs="Calibri"/>
                <w:color w:val="000000"/>
                <w:szCs w:val="21"/>
              </w:rPr>
            </w:pPr>
            <w:r>
              <w:rPr>
                <w:rFonts w:hint="eastAsia" w:cs="Calibri"/>
                <w:color w:val="000000"/>
                <w:szCs w:val="21"/>
              </w:rPr>
              <w:t>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文成县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12.90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12.27</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95.1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5.18</w:t>
            </w:r>
          </w:p>
        </w:tc>
        <w:tc>
          <w:tcPr>
            <w:tcW w:w="851" w:type="dxa"/>
            <w:vAlign w:val="center"/>
          </w:tcPr>
          <w:p>
            <w:pPr>
              <w:spacing w:line="240" w:lineRule="exact"/>
              <w:jc w:val="center"/>
              <w:rPr>
                <w:rFonts w:cs="Calibri"/>
                <w:color w:val="000000"/>
                <w:szCs w:val="21"/>
              </w:rPr>
            </w:pPr>
            <w:r>
              <w:rPr>
                <w:rFonts w:hint="eastAsia" w:cs="Calibri"/>
                <w:color w:val="000000"/>
                <w:szCs w:val="21"/>
              </w:rPr>
              <w:t>120.4</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5.18</w:t>
            </w:r>
          </w:p>
        </w:tc>
        <w:tc>
          <w:tcPr>
            <w:tcW w:w="910" w:type="dxa"/>
            <w:vAlign w:val="center"/>
          </w:tcPr>
          <w:p>
            <w:pPr>
              <w:spacing w:line="240" w:lineRule="exact"/>
              <w:jc w:val="center"/>
              <w:rPr>
                <w:rFonts w:cs="Calibri"/>
                <w:color w:val="000000"/>
                <w:szCs w:val="21"/>
              </w:rPr>
            </w:pPr>
            <w:r>
              <w:rPr>
                <w:rFonts w:hint="eastAsia" w:cs="Calibri"/>
                <w:color w:val="000000"/>
                <w:szCs w:val="21"/>
              </w:rPr>
              <w:t>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平阳县</w:t>
            </w:r>
          </w:p>
        </w:tc>
        <w:tc>
          <w:tcPr>
            <w:tcW w:w="744" w:type="dxa"/>
            <w:vAlign w:val="center"/>
          </w:tcPr>
          <w:p>
            <w:pPr>
              <w:spacing w:line="240" w:lineRule="exact"/>
              <w:jc w:val="center"/>
              <w:rPr>
                <w:rFonts w:eastAsia="仿宋_GB2312"/>
                <w:kern w:val="0"/>
                <w:szCs w:val="21"/>
              </w:rPr>
            </w:pPr>
            <w:r>
              <w:rPr>
                <w:rFonts w:eastAsia="仿宋_GB2312"/>
                <w:kern w:val="0"/>
                <w:szCs w:val="21"/>
              </w:rPr>
              <w:t>12</w:t>
            </w:r>
          </w:p>
        </w:tc>
        <w:tc>
          <w:tcPr>
            <w:tcW w:w="851" w:type="dxa"/>
            <w:vAlign w:val="center"/>
          </w:tcPr>
          <w:p>
            <w:pPr>
              <w:spacing w:line="240" w:lineRule="exact"/>
              <w:jc w:val="center"/>
              <w:rPr>
                <w:rFonts w:eastAsia="仿宋_GB2312"/>
                <w:kern w:val="0"/>
                <w:szCs w:val="21"/>
              </w:rPr>
            </w:pPr>
            <w:r>
              <w:rPr>
                <w:rFonts w:eastAsia="仿宋_GB2312"/>
                <w:kern w:val="0"/>
                <w:szCs w:val="21"/>
              </w:rPr>
              <w:t>24.20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25.23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104.3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3.98</w:t>
            </w:r>
          </w:p>
        </w:tc>
        <w:tc>
          <w:tcPr>
            <w:tcW w:w="851" w:type="dxa"/>
            <w:vAlign w:val="center"/>
          </w:tcPr>
          <w:p>
            <w:pPr>
              <w:spacing w:line="240" w:lineRule="exact"/>
              <w:jc w:val="center"/>
              <w:rPr>
                <w:rFonts w:cs="Calibri"/>
                <w:color w:val="000000"/>
                <w:szCs w:val="21"/>
              </w:rPr>
            </w:pPr>
            <w:r>
              <w:rPr>
                <w:rFonts w:hint="eastAsia" w:cs="Calibri"/>
                <w:color w:val="000000"/>
                <w:szCs w:val="21"/>
              </w:rPr>
              <w:t>110.4</w:t>
            </w:r>
          </w:p>
        </w:tc>
        <w:tc>
          <w:tcPr>
            <w:tcW w:w="910" w:type="dxa"/>
            <w:vAlign w:val="center"/>
          </w:tcPr>
          <w:p>
            <w:pPr>
              <w:spacing w:line="240" w:lineRule="exact"/>
              <w:jc w:val="center"/>
              <w:rPr>
                <w:rFonts w:cs="Calibri"/>
                <w:color w:val="000000"/>
                <w:szCs w:val="21"/>
              </w:rPr>
            </w:pPr>
            <w:r>
              <w:rPr>
                <w:rFonts w:hint="eastAsia" w:cs="Calibri"/>
                <w:color w:val="000000"/>
                <w:szCs w:val="21"/>
              </w:rPr>
              <w:t>1.07</w:t>
            </w:r>
          </w:p>
        </w:tc>
        <w:tc>
          <w:tcPr>
            <w:tcW w:w="933" w:type="dxa"/>
            <w:vAlign w:val="center"/>
          </w:tcPr>
          <w:p>
            <w:pPr>
              <w:spacing w:line="240" w:lineRule="exact"/>
              <w:jc w:val="center"/>
              <w:rPr>
                <w:rFonts w:cs="Calibri"/>
                <w:color w:val="000000"/>
                <w:szCs w:val="21"/>
              </w:rPr>
            </w:pPr>
            <w:r>
              <w:rPr>
                <w:rFonts w:hint="eastAsia" w:cs="Calibri"/>
                <w:color w:val="000000"/>
                <w:szCs w:val="21"/>
              </w:rPr>
              <w:t>178.3</w:t>
            </w:r>
          </w:p>
        </w:tc>
        <w:tc>
          <w:tcPr>
            <w:tcW w:w="992" w:type="dxa"/>
            <w:vAlign w:val="center"/>
          </w:tcPr>
          <w:p>
            <w:pPr>
              <w:spacing w:line="240" w:lineRule="exact"/>
              <w:jc w:val="center"/>
              <w:rPr>
                <w:rFonts w:cs="Calibri"/>
                <w:color w:val="000000"/>
                <w:szCs w:val="21"/>
              </w:rPr>
            </w:pPr>
            <w:r>
              <w:rPr>
                <w:rFonts w:hint="eastAsia" w:cs="Calibri"/>
                <w:color w:val="000000"/>
                <w:szCs w:val="21"/>
              </w:rPr>
              <w:t>2.91</w:t>
            </w:r>
          </w:p>
        </w:tc>
        <w:tc>
          <w:tcPr>
            <w:tcW w:w="910" w:type="dxa"/>
            <w:vAlign w:val="center"/>
          </w:tcPr>
          <w:p>
            <w:pPr>
              <w:spacing w:line="240" w:lineRule="exact"/>
              <w:jc w:val="center"/>
              <w:rPr>
                <w:rFonts w:cs="Calibri"/>
                <w:color w:val="000000"/>
                <w:szCs w:val="21"/>
              </w:rPr>
            </w:pPr>
            <w:r>
              <w:rPr>
                <w:rFonts w:hint="eastAsia" w:cs="Calibri"/>
                <w:color w:val="000000"/>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泰顺县</w:t>
            </w:r>
          </w:p>
        </w:tc>
        <w:tc>
          <w:tcPr>
            <w:tcW w:w="744" w:type="dxa"/>
            <w:vAlign w:val="center"/>
          </w:tcPr>
          <w:p>
            <w:pPr>
              <w:spacing w:line="240" w:lineRule="exact"/>
              <w:jc w:val="center"/>
              <w:rPr>
                <w:rFonts w:eastAsia="仿宋_GB2312"/>
                <w:kern w:val="0"/>
                <w:szCs w:val="21"/>
              </w:rPr>
            </w:pPr>
            <w:r>
              <w:rPr>
                <w:rFonts w:eastAsia="仿宋_GB2312"/>
                <w:kern w:val="0"/>
                <w:szCs w:val="21"/>
              </w:rPr>
              <w:t>7</w:t>
            </w:r>
          </w:p>
        </w:tc>
        <w:tc>
          <w:tcPr>
            <w:tcW w:w="851" w:type="dxa"/>
            <w:vAlign w:val="center"/>
          </w:tcPr>
          <w:p>
            <w:pPr>
              <w:spacing w:line="240" w:lineRule="exact"/>
              <w:jc w:val="center"/>
              <w:rPr>
                <w:rFonts w:eastAsia="仿宋_GB2312"/>
                <w:kern w:val="0"/>
                <w:szCs w:val="21"/>
              </w:rPr>
            </w:pPr>
            <w:r>
              <w:rPr>
                <w:rFonts w:eastAsia="仿宋_GB2312"/>
                <w:kern w:val="0"/>
                <w:szCs w:val="21"/>
              </w:rPr>
              <w:t>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8.95</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104.0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0.61</w:t>
            </w:r>
          </w:p>
        </w:tc>
        <w:tc>
          <w:tcPr>
            <w:tcW w:w="851" w:type="dxa"/>
            <w:vAlign w:val="center"/>
          </w:tcPr>
          <w:p>
            <w:pPr>
              <w:spacing w:line="240" w:lineRule="exact"/>
              <w:jc w:val="center"/>
              <w:rPr>
                <w:rFonts w:cs="Calibri"/>
                <w:color w:val="000000"/>
                <w:szCs w:val="21"/>
              </w:rPr>
            </w:pPr>
            <w:r>
              <w:rPr>
                <w:rFonts w:hint="eastAsia" w:cs="Calibri"/>
                <w:color w:val="000000"/>
                <w:szCs w:val="21"/>
              </w:rPr>
              <w:t>122.8</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cs="Calibri"/>
                <w:color w:val="000000"/>
                <w:szCs w:val="21"/>
              </w:rPr>
            </w:pPr>
            <w:r>
              <w:rPr>
                <w:rFonts w:hint="eastAsia" w:cs="Calibri"/>
                <w:color w:val="000000"/>
                <w:szCs w:val="21"/>
              </w:rPr>
              <w:t>0.61</w:t>
            </w:r>
          </w:p>
        </w:tc>
        <w:tc>
          <w:tcPr>
            <w:tcW w:w="910" w:type="dxa"/>
            <w:vAlign w:val="center"/>
          </w:tcPr>
          <w:p>
            <w:pPr>
              <w:spacing w:line="240" w:lineRule="exact"/>
              <w:jc w:val="center"/>
              <w:rPr>
                <w:rFonts w:cs="Calibri"/>
                <w:color w:val="000000"/>
                <w:szCs w:val="21"/>
              </w:rPr>
            </w:pPr>
            <w:r>
              <w:rPr>
                <w:rFonts w:hint="eastAsia" w:cs="Calibri"/>
                <w:color w:val="000000"/>
                <w:szCs w:val="21"/>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苍南县</w:t>
            </w:r>
          </w:p>
        </w:tc>
        <w:tc>
          <w:tcPr>
            <w:tcW w:w="744" w:type="dxa"/>
            <w:vAlign w:val="center"/>
          </w:tcPr>
          <w:p>
            <w:pPr>
              <w:spacing w:line="240" w:lineRule="exact"/>
              <w:jc w:val="center"/>
              <w:rPr>
                <w:rFonts w:eastAsia="仿宋_GB2312"/>
                <w:kern w:val="0"/>
                <w:szCs w:val="21"/>
              </w:rPr>
            </w:pPr>
            <w:r>
              <w:rPr>
                <w:rFonts w:eastAsia="仿宋_GB2312"/>
                <w:kern w:val="0"/>
                <w:szCs w:val="21"/>
              </w:rPr>
              <w:t>17</w:t>
            </w:r>
          </w:p>
        </w:tc>
        <w:tc>
          <w:tcPr>
            <w:tcW w:w="851" w:type="dxa"/>
            <w:vAlign w:val="center"/>
          </w:tcPr>
          <w:p>
            <w:pPr>
              <w:spacing w:line="240" w:lineRule="exact"/>
              <w:jc w:val="center"/>
              <w:rPr>
                <w:rFonts w:eastAsia="仿宋_GB2312"/>
                <w:kern w:val="0"/>
                <w:szCs w:val="21"/>
              </w:rPr>
            </w:pPr>
            <w:r>
              <w:rPr>
                <w:rFonts w:eastAsia="仿宋_GB2312"/>
                <w:kern w:val="0"/>
                <w:szCs w:val="21"/>
              </w:rPr>
              <w:t>38.60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40.96</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106.1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20.58</w:t>
            </w:r>
          </w:p>
        </w:tc>
        <w:tc>
          <w:tcPr>
            <w:tcW w:w="851" w:type="dxa"/>
            <w:vAlign w:val="center"/>
          </w:tcPr>
          <w:p>
            <w:pPr>
              <w:spacing w:line="240" w:lineRule="exact"/>
              <w:jc w:val="center"/>
              <w:rPr>
                <w:rFonts w:cs="Calibri"/>
                <w:color w:val="000000"/>
                <w:szCs w:val="21"/>
              </w:rPr>
            </w:pPr>
            <w:r>
              <w:rPr>
                <w:rFonts w:hint="eastAsia" w:cs="Calibri"/>
                <w:color w:val="000000"/>
                <w:szCs w:val="21"/>
              </w:rPr>
              <w:t>138.1</w:t>
            </w:r>
          </w:p>
        </w:tc>
        <w:tc>
          <w:tcPr>
            <w:tcW w:w="910" w:type="dxa"/>
            <w:vAlign w:val="center"/>
          </w:tcPr>
          <w:p>
            <w:pPr>
              <w:spacing w:line="240" w:lineRule="exact"/>
              <w:jc w:val="center"/>
              <w:rPr>
                <w:rFonts w:cs="Calibri"/>
                <w:color w:val="000000"/>
                <w:szCs w:val="21"/>
              </w:rPr>
            </w:pPr>
            <w:r>
              <w:rPr>
                <w:rFonts w:hint="eastAsia" w:cs="Calibri"/>
                <w:color w:val="000000"/>
                <w:szCs w:val="21"/>
              </w:rPr>
              <w:t>15.24</w:t>
            </w:r>
          </w:p>
        </w:tc>
        <w:tc>
          <w:tcPr>
            <w:tcW w:w="933" w:type="dxa"/>
            <w:vAlign w:val="center"/>
          </w:tcPr>
          <w:p>
            <w:pPr>
              <w:spacing w:line="240" w:lineRule="exact"/>
              <w:jc w:val="center"/>
              <w:rPr>
                <w:rFonts w:cs="Calibri"/>
                <w:color w:val="000000"/>
                <w:szCs w:val="21"/>
              </w:rPr>
            </w:pPr>
            <w:r>
              <w:rPr>
                <w:rFonts w:hint="eastAsia" w:cs="Calibri"/>
                <w:color w:val="000000"/>
                <w:szCs w:val="21"/>
              </w:rPr>
              <w:t>134.9</w:t>
            </w:r>
          </w:p>
        </w:tc>
        <w:tc>
          <w:tcPr>
            <w:tcW w:w="992" w:type="dxa"/>
            <w:vAlign w:val="center"/>
          </w:tcPr>
          <w:p>
            <w:pPr>
              <w:spacing w:line="240" w:lineRule="exact"/>
              <w:jc w:val="center"/>
              <w:rPr>
                <w:rFonts w:cs="Calibri"/>
                <w:color w:val="000000"/>
                <w:szCs w:val="21"/>
              </w:rPr>
            </w:pPr>
            <w:r>
              <w:rPr>
                <w:rFonts w:hint="eastAsia" w:cs="Calibri"/>
                <w:color w:val="000000"/>
                <w:szCs w:val="21"/>
              </w:rPr>
              <w:t>5.34</w:t>
            </w:r>
          </w:p>
        </w:tc>
        <w:tc>
          <w:tcPr>
            <w:tcW w:w="910" w:type="dxa"/>
            <w:vAlign w:val="center"/>
          </w:tcPr>
          <w:p>
            <w:pPr>
              <w:spacing w:line="240" w:lineRule="exact"/>
              <w:jc w:val="center"/>
              <w:rPr>
                <w:rFonts w:cs="Calibri"/>
                <w:color w:val="000000"/>
                <w:szCs w:val="21"/>
              </w:rPr>
            </w:pPr>
            <w:r>
              <w:rPr>
                <w:rFonts w:hint="eastAsia" w:cs="Calibri"/>
                <w:color w:val="000000"/>
                <w:szCs w:val="21"/>
              </w:rPr>
              <w:t>148.2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瓯江口</w:t>
            </w:r>
          </w:p>
          <w:p>
            <w:pPr>
              <w:spacing w:line="240" w:lineRule="exact"/>
              <w:jc w:val="center"/>
              <w:rPr>
                <w:rFonts w:eastAsia="仿宋_GB2312"/>
                <w:szCs w:val="21"/>
              </w:rPr>
            </w:pPr>
            <w:r>
              <w:rPr>
                <w:rFonts w:eastAsia="仿宋_GB2312"/>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6</w:t>
            </w:r>
          </w:p>
        </w:tc>
        <w:tc>
          <w:tcPr>
            <w:tcW w:w="851" w:type="dxa"/>
            <w:vAlign w:val="center"/>
          </w:tcPr>
          <w:p>
            <w:pPr>
              <w:spacing w:line="240" w:lineRule="exact"/>
              <w:jc w:val="center"/>
              <w:rPr>
                <w:rFonts w:eastAsia="仿宋_GB2312"/>
                <w:kern w:val="0"/>
                <w:szCs w:val="21"/>
              </w:rPr>
            </w:pPr>
            <w:r>
              <w:rPr>
                <w:rFonts w:eastAsia="仿宋_GB2312"/>
                <w:kern w:val="0"/>
                <w:szCs w:val="21"/>
              </w:rPr>
              <w:t>20.30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22.23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109.5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12.40</w:t>
            </w:r>
          </w:p>
        </w:tc>
        <w:tc>
          <w:tcPr>
            <w:tcW w:w="851" w:type="dxa"/>
            <w:vAlign w:val="center"/>
          </w:tcPr>
          <w:p>
            <w:pPr>
              <w:spacing w:line="240" w:lineRule="exact"/>
              <w:jc w:val="center"/>
              <w:rPr>
                <w:rFonts w:cs="Calibri"/>
                <w:color w:val="000000"/>
                <w:szCs w:val="21"/>
              </w:rPr>
            </w:pPr>
            <w:r>
              <w:rPr>
                <w:rFonts w:hint="eastAsia" w:cs="Calibri"/>
                <w:color w:val="000000"/>
                <w:szCs w:val="21"/>
              </w:rPr>
              <w:t>190.8</w:t>
            </w:r>
          </w:p>
        </w:tc>
        <w:tc>
          <w:tcPr>
            <w:tcW w:w="910" w:type="dxa"/>
            <w:vAlign w:val="center"/>
          </w:tcPr>
          <w:p>
            <w:pPr>
              <w:spacing w:line="240" w:lineRule="exact"/>
              <w:jc w:val="center"/>
              <w:rPr>
                <w:rFonts w:cs="Calibri"/>
                <w:color w:val="000000"/>
                <w:szCs w:val="21"/>
              </w:rPr>
            </w:pPr>
            <w:r>
              <w:rPr>
                <w:rFonts w:hint="eastAsia" w:cs="Calibri"/>
                <w:color w:val="000000"/>
                <w:szCs w:val="21"/>
              </w:rPr>
              <w:t>12.40</w:t>
            </w:r>
          </w:p>
        </w:tc>
        <w:tc>
          <w:tcPr>
            <w:tcW w:w="933" w:type="dxa"/>
            <w:vAlign w:val="center"/>
          </w:tcPr>
          <w:p>
            <w:pPr>
              <w:spacing w:line="240" w:lineRule="exact"/>
              <w:jc w:val="center"/>
              <w:rPr>
                <w:rFonts w:cs="Calibri"/>
                <w:color w:val="000000"/>
                <w:szCs w:val="21"/>
              </w:rPr>
            </w:pPr>
            <w:r>
              <w:rPr>
                <w:rFonts w:hint="eastAsia" w:cs="Calibri"/>
                <w:color w:val="000000"/>
                <w:szCs w:val="21"/>
              </w:rPr>
              <w:t>190.8</w:t>
            </w:r>
          </w:p>
        </w:tc>
        <w:tc>
          <w:tcPr>
            <w:tcW w:w="992" w:type="dxa"/>
            <w:vAlign w:val="center"/>
          </w:tcPr>
          <w:p>
            <w:pPr>
              <w:spacing w:line="240" w:lineRule="exact"/>
              <w:jc w:val="center"/>
              <w:rPr>
                <w:szCs w:val="21"/>
              </w:rPr>
            </w:pPr>
            <w:r>
              <w:rPr>
                <w:rFonts w:hint="eastAsia" w:cs="Calibri"/>
                <w:color w:val="000000"/>
                <w:szCs w:val="21"/>
              </w:rPr>
              <w:t>—</w:t>
            </w:r>
          </w:p>
        </w:tc>
        <w:tc>
          <w:tcPr>
            <w:tcW w:w="910" w:type="dxa"/>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vAlign w:val="center"/>
          </w:tcPr>
          <w:p>
            <w:pPr>
              <w:spacing w:line="240" w:lineRule="exact"/>
              <w:jc w:val="center"/>
              <w:rPr>
                <w:rFonts w:eastAsia="仿宋_GB2312"/>
                <w:szCs w:val="21"/>
              </w:rPr>
            </w:pPr>
            <w:r>
              <w:rPr>
                <w:rFonts w:eastAsia="仿宋_GB2312"/>
                <w:szCs w:val="21"/>
              </w:rPr>
              <w:t>浙南</w:t>
            </w:r>
          </w:p>
          <w:p>
            <w:pPr>
              <w:spacing w:line="240" w:lineRule="exact"/>
              <w:jc w:val="center"/>
              <w:rPr>
                <w:rFonts w:eastAsia="仿宋_GB2312"/>
                <w:szCs w:val="21"/>
              </w:rPr>
            </w:pPr>
            <w:r>
              <w:rPr>
                <w:rFonts w:eastAsia="仿宋_GB2312"/>
                <w:szCs w:val="21"/>
              </w:rPr>
              <w:t>集聚区</w:t>
            </w:r>
          </w:p>
        </w:tc>
        <w:tc>
          <w:tcPr>
            <w:tcW w:w="744" w:type="dxa"/>
            <w:vAlign w:val="center"/>
          </w:tcPr>
          <w:p>
            <w:pPr>
              <w:spacing w:line="240" w:lineRule="exact"/>
              <w:jc w:val="center"/>
              <w:rPr>
                <w:rFonts w:eastAsia="仿宋_GB2312"/>
                <w:kern w:val="0"/>
                <w:szCs w:val="21"/>
              </w:rPr>
            </w:pPr>
            <w:r>
              <w:rPr>
                <w:rFonts w:eastAsia="仿宋_GB2312"/>
                <w:kern w:val="0"/>
                <w:szCs w:val="21"/>
              </w:rPr>
              <w:t>9</w:t>
            </w:r>
          </w:p>
        </w:tc>
        <w:tc>
          <w:tcPr>
            <w:tcW w:w="851" w:type="dxa"/>
            <w:vAlign w:val="center"/>
          </w:tcPr>
          <w:p>
            <w:pPr>
              <w:spacing w:line="240" w:lineRule="exact"/>
              <w:jc w:val="center"/>
              <w:rPr>
                <w:rFonts w:eastAsia="仿宋_GB2312"/>
                <w:kern w:val="0"/>
                <w:szCs w:val="21"/>
              </w:rPr>
            </w:pPr>
            <w:r>
              <w:rPr>
                <w:rFonts w:eastAsia="仿宋_GB2312"/>
                <w:kern w:val="0"/>
                <w:szCs w:val="21"/>
              </w:rPr>
              <w:t>16.50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16.03</w:t>
            </w:r>
          </w:p>
        </w:tc>
        <w:tc>
          <w:tcPr>
            <w:tcW w:w="691" w:type="dxa"/>
            <w:tcBorders>
              <w:righ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 xml:space="preserve">97.2 </w:t>
            </w:r>
          </w:p>
        </w:tc>
        <w:tc>
          <w:tcPr>
            <w:tcW w:w="850" w:type="dxa"/>
            <w:tcBorders>
              <w:left w:val="double" w:color="auto" w:sz="6" w:space="0"/>
            </w:tcBorders>
            <w:vAlign w:val="center"/>
          </w:tcPr>
          <w:p>
            <w:pPr>
              <w:spacing w:line="240" w:lineRule="exact"/>
              <w:jc w:val="center"/>
              <w:rPr>
                <w:rFonts w:cs="Calibri"/>
                <w:color w:val="000000"/>
                <w:szCs w:val="21"/>
              </w:rPr>
            </w:pPr>
            <w:r>
              <w:rPr>
                <w:rFonts w:hint="eastAsia" w:cs="Calibri"/>
                <w:color w:val="000000"/>
                <w:szCs w:val="21"/>
              </w:rPr>
              <w:t>6.89</w:t>
            </w:r>
          </w:p>
        </w:tc>
        <w:tc>
          <w:tcPr>
            <w:tcW w:w="851" w:type="dxa"/>
            <w:vAlign w:val="center"/>
          </w:tcPr>
          <w:p>
            <w:pPr>
              <w:spacing w:line="240" w:lineRule="exact"/>
              <w:jc w:val="center"/>
              <w:rPr>
                <w:rFonts w:cs="Calibri"/>
                <w:color w:val="000000"/>
                <w:szCs w:val="21"/>
              </w:rPr>
            </w:pPr>
            <w:r>
              <w:rPr>
                <w:rFonts w:hint="eastAsia" w:cs="Calibri"/>
                <w:color w:val="000000"/>
                <w:szCs w:val="21"/>
              </w:rPr>
              <w:t>73.3</w:t>
            </w:r>
          </w:p>
        </w:tc>
        <w:tc>
          <w:tcPr>
            <w:tcW w:w="910" w:type="dxa"/>
            <w:vAlign w:val="center"/>
          </w:tcPr>
          <w:p>
            <w:pPr>
              <w:spacing w:line="240" w:lineRule="exact"/>
              <w:jc w:val="center"/>
              <w:rPr>
                <w:rFonts w:cs="Calibri"/>
                <w:color w:val="000000"/>
                <w:szCs w:val="21"/>
              </w:rPr>
            </w:pPr>
            <w:r>
              <w:rPr>
                <w:rFonts w:hint="eastAsia" w:cs="Calibri"/>
                <w:color w:val="000000"/>
                <w:szCs w:val="21"/>
              </w:rPr>
              <w:t>4.62</w:t>
            </w:r>
          </w:p>
        </w:tc>
        <w:tc>
          <w:tcPr>
            <w:tcW w:w="933" w:type="dxa"/>
            <w:vAlign w:val="center"/>
          </w:tcPr>
          <w:p>
            <w:pPr>
              <w:spacing w:line="240" w:lineRule="exact"/>
              <w:jc w:val="center"/>
              <w:rPr>
                <w:rFonts w:cs="Calibri"/>
                <w:color w:val="000000"/>
                <w:szCs w:val="21"/>
              </w:rPr>
            </w:pPr>
            <w:r>
              <w:rPr>
                <w:rFonts w:hint="eastAsia" w:cs="Calibri"/>
                <w:color w:val="000000"/>
                <w:szCs w:val="21"/>
              </w:rPr>
              <w:t>62.5</w:t>
            </w:r>
          </w:p>
        </w:tc>
        <w:tc>
          <w:tcPr>
            <w:tcW w:w="992" w:type="dxa"/>
            <w:vAlign w:val="center"/>
          </w:tcPr>
          <w:p>
            <w:pPr>
              <w:spacing w:line="240" w:lineRule="exact"/>
              <w:jc w:val="center"/>
              <w:rPr>
                <w:rFonts w:cs="Calibri"/>
                <w:color w:val="000000"/>
                <w:szCs w:val="21"/>
              </w:rPr>
            </w:pPr>
            <w:r>
              <w:rPr>
                <w:rFonts w:hint="eastAsia" w:cs="Calibri"/>
                <w:color w:val="000000"/>
                <w:szCs w:val="21"/>
              </w:rPr>
              <w:t>2.27</w:t>
            </w:r>
          </w:p>
        </w:tc>
        <w:tc>
          <w:tcPr>
            <w:tcW w:w="910" w:type="dxa"/>
            <w:vAlign w:val="center"/>
          </w:tcPr>
          <w:p>
            <w:pPr>
              <w:spacing w:line="240" w:lineRule="exact"/>
              <w:jc w:val="center"/>
              <w:rPr>
                <w:rFonts w:cs="Calibri"/>
                <w:color w:val="000000"/>
                <w:szCs w:val="21"/>
              </w:rPr>
            </w:pPr>
            <w:r>
              <w:rPr>
                <w:rFonts w:hint="eastAsia" w:cs="Calibri"/>
                <w:color w:val="000000"/>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szCs w:val="21"/>
              </w:rPr>
            </w:pPr>
            <w:r>
              <w:rPr>
                <w:rFonts w:hint="eastAsia" w:eastAsia="仿宋_GB2312"/>
                <w:spacing w:val="-20"/>
                <w:szCs w:val="21"/>
              </w:rPr>
              <w:t>县（市、区）小计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181</w:t>
            </w:r>
          </w:p>
        </w:tc>
        <w:tc>
          <w:tcPr>
            <w:tcW w:w="851" w:type="dxa"/>
            <w:vAlign w:val="center"/>
          </w:tcPr>
          <w:p>
            <w:pPr>
              <w:spacing w:line="240" w:lineRule="exact"/>
              <w:jc w:val="center"/>
              <w:rPr>
                <w:rFonts w:eastAsia="仿宋_GB2312"/>
                <w:kern w:val="0"/>
                <w:szCs w:val="21"/>
              </w:rPr>
            </w:pPr>
            <w:r>
              <w:rPr>
                <w:rFonts w:eastAsia="仿宋_GB2312"/>
                <w:kern w:val="0"/>
                <w:szCs w:val="21"/>
              </w:rPr>
              <w:t>410.61</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463.43</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112.9</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199.10</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112.9</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74.89</w:t>
            </w:r>
          </w:p>
        </w:tc>
        <w:tc>
          <w:tcPr>
            <w:tcW w:w="933" w:type="dxa"/>
            <w:vAlign w:val="center"/>
          </w:tcPr>
          <w:p>
            <w:pPr>
              <w:spacing w:line="240" w:lineRule="exact"/>
              <w:jc w:val="center"/>
              <w:rPr>
                <w:rFonts w:eastAsia="仿宋_GB2312"/>
                <w:kern w:val="0"/>
                <w:szCs w:val="21"/>
              </w:rPr>
            </w:pPr>
            <w:r>
              <w:rPr>
                <w:rFonts w:hint="eastAsia" w:eastAsia="仿宋_GB2312"/>
                <w:kern w:val="0"/>
                <w:szCs w:val="21"/>
              </w:rPr>
              <w:t>112.6</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124.21</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szCs w:val="21"/>
              </w:rPr>
            </w:pPr>
            <w:r>
              <w:rPr>
                <w:rFonts w:eastAsia="仿宋_GB2312"/>
                <w:szCs w:val="21"/>
              </w:rPr>
              <w:t>市直单位</w:t>
            </w:r>
            <w:r>
              <w:rPr>
                <w:rFonts w:hint="eastAsia" w:eastAsia="仿宋_GB2312"/>
                <w:szCs w:val="21"/>
              </w:rPr>
              <w:t>小计</w:t>
            </w:r>
          </w:p>
        </w:tc>
        <w:tc>
          <w:tcPr>
            <w:tcW w:w="744" w:type="dxa"/>
            <w:shd w:val="clear" w:color="auto" w:fill="auto"/>
            <w:vAlign w:val="center"/>
          </w:tcPr>
          <w:p>
            <w:pPr>
              <w:spacing w:line="240" w:lineRule="exact"/>
              <w:jc w:val="center"/>
              <w:rPr>
                <w:rFonts w:eastAsia="仿宋_GB2312"/>
                <w:kern w:val="0"/>
                <w:szCs w:val="21"/>
              </w:rPr>
            </w:pPr>
            <w:r>
              <w:rPr>
                <w:rFonts w:eastAsia="仿宋_GB2312"/>
                <w:kern w:val="0"/>
                <w:szCs w:val="21"/>
              </w:rPr>
              <w:t>42</w:t>
            </w:r>
          </w:p>
        </w:tc>
        <w:tc>
          <w:tcPr>
            <w:tcW w:w="851" w:type="dxa"/>
            <w:vAlign w:val="center"/>
          </w:tcPr>
          <w:p>
            <w:pPr>
              <w:spacing w:line="240" w:lineRule="exact"/>
              <w:jc w:val="center"/>
              <w:rPr>
                <w:rFonts w:eastAsia="仿宋_GB2312"/>
                <w:kern w:val="0"/>
                <w:szCs w:val="21"/>
              </w:rPr>
            </w:pPr>
            <w:r>
              <w:rPr>
                <w:rFonts w:eastAsia="仿宋_GB2312"/>
                <w:kern w:val="0"/>
                <w:szCs w:val="21"/>
              </w:rPr>
              <w:t>325.10</w:t>
            </w:r>
          </w:p>
        </w:tc>
        <w:tc>
          <w:tcPr>
            <w:tcW w:w="851" w:type="dxa"/>
            <w:shd w:val="clear" w:color="auto" w:fill="auto"/>
            <w:vAlign w:val="center"/>
          </w:tcPr>
          <w:p>
            <w:pPr>
              <w:spacing w:line="240" w:lineRule="exact"/>
              <w:jc w:val="center"/>
              <w:rPr>
                <w:rFonts w:eastAsia="仿宋_GB2312"/>
                <w:kern w:val="0"/>
                <w:szCs w:val="21"/>
              </w:rPr>
            </w:pPr>
            <w:r>
              <w:rPr>
                <w:rFonts w:hint="eastAsia" w:eastAsia="仿宋_GB2312"/>
                <w:kern w:val="0"/>
                <w:szCs w:val="21"/>
              </w:rPr>
              <w:t>254.90</w:t>
            </w:r>
          </w:p>
        </w:tc>
        <w:tc>
          <w:tcPr>
            <w:tcW w:w="691" w:type="dxa"/>
            <w:tcBorders>
              <w:right w:val="double" w:color="auto" w:sz="6"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78.4</w:t>
            </w:r>
          </w:p>
        </w:tc>
        <w:tc>
          <w:tcPr>
            <w:tcW w:w="850" w:type="dxa"/>
            <w:tcBorders>
              <w:left w:val="double" w:color="auto" w:sz="6" w:space="0"/>
            </w:tcBorders>
            <w:vAlign w:val="center"/>
          </w:tcPr>
          <w:p>
            <w:pPr>
              <w:spacing w:line="240" w:lineRule="exact"/>
              <w:jc w:val="center"/>
              <w:rPr>
                <w:rFonts w:eastAsia="仿宋_GB2312"/>
                <w:kern w:val="0"/>
                <w:szCs w:val="21"/>
              </w:rPr>
            </w:pPr>
            <w:r>
              <w:rPr>
                <w:rFonts w:hint="eastAsia" w:eastAsia="仿宋_GB2312"/>
                <w:kern w:val="0"/>
                <w:szCs w:val="21"/>
              </w:rPr>
              <w:t>2.02</w:t>
            </w:r>
          </w:p>
        </w:tc>
        <w:tc>
          <w:tcPr>
            <w:tcW w:w="851" w:type="dxa"/>
            <w:vAlign w:val="center"/>
          </w:tcPr>
          <w:p>
            <w:pPr>
              <w:spacing w:line="240" w:lineRule="exact"/>
              <w:jc w:val="center"/>
              <w:rPr>
                <w:rFonts w:eastAsia="仿宋_GB2312"/>
                <w:kern w:val="0"/>
                <w:szCs w:val="21"/>
              </w:rPr>
            </w:pPr>
            <w:r>
              <w:rPr>
                <w:rFonts w:hint="eastAsia" w:eastAsia="仿宋_GB2312"/>
                <w:kern w:val="0"/>
                <w:szCs w:val="21"/>
              </w:rPr>
              <w:t>93.8</w:t>
            </w:r>
          </w:p>
        </w:tc>
        <w:tc>
          <w:tcPr>
            <w:tcW w:w="910" w:type="dxa"/>
            <w:vAlign w:val="center"/>
          </w:tcPr>
          <w:p>
            <w:pPr>
              <w:spacing w:line="240" w:lineRule="exact"/>
              <w:jc w:val="center"/>
              <w:rPr>
                <w:szCs w:val="21"/>
              </w:rPr>
            </w:pPr>
            <w:r>
              <w:rPr>
                <w:rFonts w:hint="eastAsia" w:cs="Calibri"/>
                <w:color w:val="000000"/>
                <w:szCs w:val="21"/>
              </w:rPr>
              <w:t>—</w:t>
            </w:r>
          </w:p>
        </w:tc>
        <w:tc>
          <w:tcPr>
            <w:tcW w:w="933" w:type="dxa"/>
            <w:vAlign w:val="center"/>
          </w:tcPr>
          <w:p>
            <w:pPr>
              <w:spacing w:line="240" w:lineRule="exact"/>
              <w:jc w:val="center"/>
              <w:rPr>
                <w:szCs w:val="21"/>
              </w:rPr>
            </w:pPr>
            <w:r>
              <w:rPr>
                <w:rFonts w:hint="eastAsia" w:cs="Calibri"/>
                <w:color w:val="000000"/>
                <w:szCs w:val="21"/>
              </w:rPr>
              <w:t>—</w:t>
            </w:r>
          </w:p>
        </w:tc>
        <w:tc>
          <w:tcPr>
            <w:tcW w:w="992" w:type="dxa"/>
            <w:vAlign w:val="center"/>
          </w:tcPr>
          <w:p>
            <w:pPr>
              <w:spacing w:line="240" w:lineRule="exact"/>
              <w:jc w:val="center"/>
              <w:rPr>
                <w:rFonts w:eastAsia="仿宋_GB2312"/>
                <w:kern w:val="0"/>
                <w:szCs w:val="21"/>
              </w:rPr>
            </w:pPr>
            <w:r>
              <w:rPr>
                <w:rFonts w:hint="eastAsia" w:eastAsia="仿宋_GB2312"/>
                <w:kern w:val="0"/>
                <w:szCs w:val="21"/>
              </w:rPr>
              <w:t>2.02</w:t>
            </w:r>
          </w:p>
        </w:tc>
        <w:tc>
          <w:tcPr>
            <w:tcW w:w="910" w:type="dxa"/>
            <w:vAlign w:val="center"/>
          </w:tcPr>
          <w:p>
            <w:pPr>
              <w:spacing w:line="240" w:lineRule="exact"/>
              <w:jc w:val="center"/>
              <w:rPr>
                <w:rFonts w:eastAsia="仿宋_GB2312"/>
                <w:kern w:val="0"/>
                <w:szCs w:val="21"/>
              </w:rPr>
            </w:pPr>
            <w:r>
              <w:rPr>
                <w:rFonts w:hint="eastAsia" w:eastAsia="仿宋_GB2312"/>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shd w:val="clear" w:color="auto" w:fill="auto"/>
            <w:vAlign w:val="center"/>
          </w:tcPr>
          <w:p>
            <w:pPr>
              <w:spacing w:line="240" w:lineRule="exact"/>
              <w:jc w:val="center"/>
              <w:rPr>
                <w:rFonts w:eastAsia="仿宋_GB2312"/>
                <w:b/>
                <w:szCs w:val="21"/>
              </w:rPr>
            </w:pPr>
            <w:r>
              <w:rPr>
                <w:rFonts w:hint="eastAsia" w:eastAsia="仿宋_GB2312"/>
                <w:b/>
                <w:szCs w:val="21"/>
              </w:rPr>
              <w:t>全市</w:t>
            </w:r>
            <w:r>
              <w:rPr>
                <w:rFonts w:eastAsia="仿宋_GB2312"/>
                <w:b/>
                <w:szCs w:val="21"/>
              </w:rPr>
              <w:t>合计</w:t>
            </w:r>
          </w:p>
        </w:tc>
        <w:tc>
          <w:tcPr>
            <w:tcW w:w="744" w:type="dxa"/>
            <w:shd w:val="clear" w:color="auto" w:fill="auto"/>
            <w:vAlign w:val="center"/>
          </w:tcPr>
          <w:p>
            <w:pPr>
              <w:spacing w:line="240" w:lineRule="exact"/>
              <w:jc w:val="center"/>
              <w:rPr>
                <w:rFonts w:eastAsia="仿宋_GB2312"/>
                <w:b/>
                <w:kern w:val="0"/>
                <w:szCs w:val="21"/>
              </w:rPr>
            </w:pPr>
            <w:r>
              <w:rPr>
                <w:rFonts w:eastAsia="仿宋_GB2312"/>
                <w:b/>
                <w:kern w:val="0"/>
                <w:szCs w:val="21"/>
              </w:rPr>
              <w:t>223</w:t>
            </w:r>
          </w:p>
        </w:tc>
        <w:tc>
          <w:tcPr>
            <w:tcW w:w="851" w:type="dxa"/>
            <w:vAlign w:val="center"/>
          </w:tcPr>
          <w:p>
            <w:pPr>
              <w:spacing w:line="240" w:lineRule="exact"/>
              <w:jc w:val="center"/>
              <w:rPr>
                <w:rFonts w:eastAsia="仿宋_GB2312"/>
                <w:b/>
                <w:kern w:val="0"/>
                <w:szCs w:val="21"/>
              </w:rPr>
            </w:pPr>
            <w:r>
              <w:rPr>
                <w:rFonts w:eastAsia="仿宋_GB2312"/>
                <w:b/>
                <w:kern w:val="0"/>
                <w:szCs w:val="21"/>
              </w:rPr>
              <w:t>735.71</w:t>
            </w:r>
          </w:p>
        </w:tc>
        <w:tc>
          <w:tcPr>
            <w:tcW w:w="851" w:type="dxa"/>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718.33</w:t>
            </w:r>
          </w:p>
        </w:tc>
        <w:tc>
          <w:tcPr>
            <w:tcW w:w="691" w:type="dxa"/>
            <w:tcBorders>
              <w:right w:val="double" w:color="auto" w:sz="6"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97.6</w:t>
            </w:r>
          </w:p>
        </w:tc>
        <w:tc>
          <w:tcPr>
            <w:tcW w:w="850" w:type="dxa"/>
            <w:tcBorders>
              <w:left w:val="double" w:color="auto" w:sz="6" w:space="0"/>
            </w:tcBorders>
            <w:vAlign w:val="center"/>
          </w:tcPr>
          <w:p>
            <w:pPr>
              <w:spacing w:line="240" w:lineRule="exact"/>
              <w:jc w:val="center"/>
              <w:rPr>
                <w:rFonts w:eastAsia="仿宋_GB2312"/>
                <w:b/>
                <w:kern w:val="0"/>
                <w:szCs w:val="21"/>
              </w:rPr>
            </w:pPr>
            <w:r>
              <w:rPr>
                <w:rFonts w:hint="eastAsia" w:eastAsia="仿宋_GB2312"/>
                <w:b/>
                <w:kern w:val="0"/>
                <w:szCs w:val="21"/>
              </w:rPr>
              <w:t>201.11</w:t>
            </w:r>
          </w:p>
        </w:tc>
        <w:tc>
          <w:tcPr>
            <w:tcW w:w="851" w:type="dxa"/>
            <w:vAlign w:val="center"/>
          </w:tcPr>
          <w:p>
            <w:pPr>
              <w:spacing w:line="240" w:lineRule="exact"/>
              <w:jc w:val="center"/>
              <w:rPr>
                <w:rFonts w:eastAsia="仿宋_GB2312"/>
                <w:b/>
                <w:kern w:val="0"/>
                <w:szCs w:val="21"/>
              </w:rPr>
            </w:pPr>
            <w:r>
              <w:rPr>
                <w:rFonts w:hint="eastAsia" w:eastAsia="仿宋_GB2312"/>
                <w:b/>
                <w:kern w:val="0"/>
                <w:szCs w:val="21"/>
              </w:rPr>
              <w:t>112.7</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74.89</w:t>
            </w:r>
          </w:p>
        </w:tc>
        <w:tc>
          <w:tcPr>
            <w:tcW w:w="933" w:type="dxa"/>
            <w:vAlign w:val="center"/>
          </w:tcPr>
          <w:p>
            <w:pPr>
              <w:spacing w:line="240" w:lineRule="exact"/>
              <w:jc w:val="center"/>
              <w:rPr>
                <w:rFonts w:eastAsia="仿宋_GB2312"/>
                <w:b/>
                <w:kern w:val="0"/>
                <w:szCs w:val="21"/>
              </w:rPr>
            </w:pPr>
            <w:r>
              <w:rPr>
                <w:rFonts w:hint="eastAsia" w:eastAsia="仿宋_GB2312"/>
                <w:b/>
                <w:kern w:val="0"/>
                <w:szCs w:val="21"/>
              </w:rPr>
              <w:t>112.6</w:t>
            </w:r>
          </w:p>
        </w:tc>
        <w:tc>
          <w:tcPr>
            <w:tcW w:w="992" w:type="dxa"/>
            <w:vAlign w:val="center"/>
          </w:tcPr>
          <w:p>
            <w:pPr>
              <w:spacing w:line="240" w:lineRule="exact"/>
              <w:jc w:val="center"/>
              <w:rPr>
                <w:rFonts w:eastAsia="仿宋_GB2312"/>
                <w:b/>
                <w:kern w:val="0"/>
                <w:szCs w:val="21"/>
              </w:rPr>
            </w:pPr>
            <w:r>
              <w:rPr>
                <w:rFonts w:hint="eastAsia" w:eastAsia="仿宋_GB2312"/>
                <w:b/>
                <w:kern w:val="0"/>
                <w:szCs w:val="21"/>
              </w:rPr>
              <w:t>126.22</w:t>
            </w:r>
          </w:p>
        </w:tc>
        <w:tc>
          <w:tcPr>
            <w:tcW w:w="910" w:type="dxa"/>
            <w:vAlign w:val="center"/>
          </w:tcPr>
          <w:p>
            <w:pPr>
              <w:spacing w:line="240" w:lineRule="exact"/>
              <w:jc w:val="center"/>
              <w:rPr>
                <w:rFonts w:eastAsia="仿宋_GB2312"/>
                <w:b/>
                <w:kern w:val="0"/>
                <w:szCs w:val="21"/>
              </w:rPr>
            </w:pPr>
            <w:r>
              <w:rPr>
                <w:rFonts w:hint="eastAsia" w:eastAsia="仿宋_GB2312"/>
                <w:b/>
                <w:kern w:val="0"/>
                <w:szCs w:val="21"/>
              </w:rPr>
              <w:t>112.7</w:t>
            </w:r>
          </w:p>
        </w:tc>
      </w:tr>
    </w:tbl>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after="120" w:afterLines="50" w:line="360" w:lineRule="exact"/>
        <w:rPr>
          <w:rFonts w:eastAsia="黑体"/>
          <w:sz w:val="32"/>
          <w:szCs w:val="32"/>
        </w:rPr>
      </w:pPr>
      <w:r>
        <w:rPr>
          <w:rFonts w:hint="eastAsia" w:eastAsia="黑体"/>
          <w:sz w:val="32"/>
          <w:szCs w:val="32"/>
        </w:rPr>
        <w:t>附件4</w:t>
      </w:r>
    </w:p>
    <w:p>
      <w:pPr>
        <w:snapToGrid w:val="0"/>
        <w:spacing w:after="120" w:afterLines="50" w:line="440" w:lineRule="exact"/>
        <w:jc w:val="center"/>
        <w:rPr>
          <w:rFonts w:eastAsia="楷体_GB2312"/>
          <w:spacing w:val="-6"/>
          <w:sz w:val="32"/>
          <w:szCs w:val="32"/>
        </w:rPr>
      </w:pPr>
      <w:r>
        <w:rPr>
          <w:rFonts w:hint="eastAsia" w:eastAsia="方正小标宋简体"/>
          <w:spacing w:val="-6"/>
          <w:sz w:val="36"/>
          <w:szCs w:val="36"/>
        </w:rPr>
        <w:t>2018年市重点建设项目市直单位完成情况表</w:t>
      </w:r>
      <w:r>
        <w:rPr>
          <w:rFonts w:hint="eastAsia" w:eastAsia="楷体_GB2312"/>
          <w:sz w:val="32"/>
          <w:szCs w:val="32"/>
        </w:rPr>
        <w:t>（1-10月）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eastAsia="黑体"/>
                <w:sz w:val="18"/>
                <w:szCs w:val="18"/>
              </w:rPr>
            </w:pPr>
            <w:r>
              <w:rPr>
                <w:rFonts w:hint="eastAsia" w:eastAsia="黑体"/>
                <w:sz w:val="18"/>
                <w:szCs w:val="18"/>
              </w:rPr>
              <w:t>单位</w:t>
            </w:r>
          </w:p>
        </w:tc>
        <w:tc>
          <w:tcPr>
            <w:tcW w:w="2444" w:type="dxa"/>
            <w:vAlign w:val="center"/>
          </w:tcPr>
          <w:p>
            <w:pPr>
              <w:spacing w:line="240" w:lineRule="exact"/>
              <w:jc w:val="center"/>
              <w:rPr>
                <w:rFonts w:eastAsia="黑体"/>
                <w:sz w:val="18"/>
                <w:szCs w:val="18"/>
              </w:rPr>
            </w:pPr>
            <w:r>
              <w:rPr>
                <w:rFonts w:hint="eastAsia" w:eastAsia="黑体"/>
                <w:sz w:val="18"/>
                <w:szCs w:val="18"/>
              </w:rPr>
              <w:t>项目名称</w:t>
            </w:r>
          </w:p>
        </w:tc>
        <w:tc>
          <w:tcPr>
            <w:tcW w:w="708"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6"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126"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5"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268"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szCs w:val="21"/>
              </w:rPr>
            </w:pPr>
            <w:r>
              <w:rPr>
                <w:rFonts w:hint="eastAsia"/>
                <w:szCs w:val="21"/>
              </w:rPr>
              <w:t xml:space="preserve">129.5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szCs w:val="21"/>
              </w:rPr>
            </w:pPr>
            <w:r>
              <w:rPr>
                <w:rFonts w:hint="eastAsia"/>
                <w:szCs w:val="21"/>
              </w:rPr>
              <w:t xml:space="preserve">93.3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szCs w:val="21"/>
              </w:rPr>
            </w:pPr>
            <w:r>
              <w:rPr>
                <w:rFonts w:hint="eastAsia"/>
                <w:szCs w:val="21"/>
              </w:rPr>
              <w:t xml:space="preserve">101.7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szCs w:val="21"/>
              </w:rPr>
            </w:pPr>
            <w:r>
              <w:rPr>
                <w:rFonts w:hint="eastAsia"/>
                <w:szCs w:val="21"/>
              </w:rPr>
              <w:t xml:space="preserve">80.3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szCs w:val="21"/>
              </w:rPr>
            </w:pPr>
            <w:r>
              <w:rPr>
                <w:rFonts w:hint="eastAsia"/>
                <w:szCs w:val="21"/>
              </w:rPr>
              <w:t xml:space="preserve">62.3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eastAsiaTheme="minorEastAsia"/>
                <w:szCs w:val="21"/>
              </w:rPr>
              <w:t>垟</w:t>
            </w:r>
            <w:r>
              <w:rPr>
                <w:rFonts w:hint="eastAsia" w:eastAsia="仿宋_GB2312" w:cs="宋体"/>
                <w:szCs w:val="21"/>
              </w:rPr>
              <w:t>城市湿地公园建设工程</w:t>
            </w:r>
          </w:p>
        </w:tc>
        <w:tc>
          <w:tcPr>
            <w:tcW w:w="709" w:type="dxa"/>
            <w:vAlign w:val="center"/>
          </w:tcPr>
          <w:p>
            <w:pPr>
              <w:jc w:val="center"/>
              <w:rPr>
                <w:szCs w:val="21"/>
              </w:rPr>
            </w:pPr>
            <w:r>
              <w:rPr>
                <w:rFonts w:hint="eastAsia"/>
                <w:szCs w:val="21"/>
              </w:rPr>
              <w:t xml:space="preserve">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szCs w:val="21"/>
              </w:rPr>
            </w:pPr>
            <w:r>
              <w:rPr>
                <w:rFonts w:hint="eastAsia"/>
                <w:szCs w:val="21"/>
              </w:rPr>
              <w:t xml:space="preserve">149.2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szCs w:val="21"/>
              </w:rPr>
            </w:pPr>
            <w:r>
              <w:rPr>
                <w:rFonts w:hint="eastAsia"/>
                <w:szCs w:val="21"/>
              </w:rPr>
              <w:t xml:space="preserve">75.1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szCs w:val="21"/>
              </w:rPr>
            </w:pPr>
            <w:r>
              <w:rPr>
                <w:rFonts w:hint="eastAsia"/>
                <w:szCs w:val="21"/>
              </w:rPr>
              <w:t xml:space="preserve">99.7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szCs w:val="21"/>
              </w:rPr>
            </w:pPr>
            <w:r>
              <w:rPr>
                <w:rFonts w:hint="eastAsia"/>
                <w:szCs w:val="21"/>
              </w:rPr>
              <w:t xml:space="preserve">225.8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szCs w:val="21"/>
              </w:rPr>
            </w:pPr>
            <w:r>
              <w:rPr>
                <w:rFonts w:hint="eastAsia"/>
                <w:szCs w:val="21"/>
              </w:rPr>
              <w:t xml:space="preserve">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szCs w:val="21"/>
              </w:rPr>
            </w:pPr>
            <w:r>
              <w:rPr>
                <w:rFonts w:hint="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szCs w:val="21"/>
              </w:rPr>
            </w:pPr>
            <w:r>
              <w:rPr>
                <w:rFonts w:hint="eastAsia"/>
                <w:szCs w:val="21"/>
              </w:rPr>
              <w:t xml:space="preserve">140.2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szCs w:val="21"/>
              </w:rPr>
            </w:pPr>
            <w:r>
              <w:rPr>
                <w:rFonts w:hint="eastAsia"/>
                <w:szCs w:val="21"/>
              </w:rPr>
              <w:t xml:space="preserve">81.0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szCs w:val="21"/>
              </w:rPr>
            </w:pPr>
            <w:r>
              <w:rPr>
                <w:rFonts w:hint="eastAsia"/>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szCs w:val="21"/>
              </w:rPr>
            </w:pPr>
            <w:r>
              <w:rPr>
                <w:rFonts w:hint="eastAsia"/>
                <w:szCs w:val="21"/>
              </w:rPr>
              <w:t xml:space="preserve">78.8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szCs w:val="21"/>
              </w:rPr>
            </w:pPr>
            <w:r>
              <w:rPr>
                <w:rFonts w:hint="eastAsia"/>
                <w:szCs w:val="21"/>
              </w:rPr>
              <w:t xml:space="preserve">99.0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szCs w:val="21"/>
              </w:rPr>
            </w:pPr>
            <w:r>
              <w:rPr>
                <w:rFonts w:hint="eastAsia"/>
                <w:szCs w:val="21"/>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szCs w:val="21"/>
              </w:rPr>
            </w:pPr>
            <w:r>
              <w:rPr>
                <w:rFonts w:hint="eastAsia"/>
                <w:szCs w:val="21"/>
              </w:rPr>
              <w:t xml:space="preserve">78.0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szCs w:val="21"/>
              </w:rPr>
            </w:pPr>
            <w:r>
              <w:rPr>
                <w:rFonts w:hint="eastAsia"/>
                <w:szCs w:val="21"/>
              </w:rPr>
              <w:t xml:space="preserve">72.1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szCs w:val="21"/>
              </w:rPr>
            </w:pPr>
            <w:r>
              <w:rPr>
                <w:rFonts w:hint="eastAsia"/>
                <w:szCs w:val="21"/>
              </w:rPr>
              <w:t xml:space="preserve">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szCs w:val="21"/>
              </w:rPr>
            </w:pPr>
            <w:r>
              <w:rPr>
                <w:rFonts w:hint="eastAsia"/>
                <w:szCs w:val="21"/>
              </w:rPr>
              <w:t xml:space="preserve">90.2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名城</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szCs w:val="21"/>
              </w:rPr>
            </w:pPr>
            <w:r>
              <w:rPr>
                <w:rFonts w:hint="eastAsia"/>
                <w:szCs w:val="21"/>
              </w:rPr>
              <w:t xml:space="preserve">80.3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szCs w:val="21"/>
              </w:rPr>
            </w:pPr>
            <w:r>
              <w:rPr>
                <w:rFonts w:hint="eastAsia"/>
                <w:szCs w:val="21"/>
              </w:rPr>
              <w:t xml:space="preserve">80.4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szCs w:val="21"/>
              </w:rPr>
            </w:pPr>
            <w:r>
              <w:rPr>
                <w:rFonts w:hint="eastAsia"/>
                <w:szCs w:val="21"/>
              </w:rPr>
              <w:t xml:space="preserve">81.7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szCs w:val="21"/>
              </w:rPr>
            </w:pPr>
            <w:r>
              <w:rPr>
                <w:rFonts w:hint="eastAsia"/>
                <w:szCs w:val="21"/>
              </w:rPr>
              <w:t xml:space="preserve">158.8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szCs w:val="21"/>
              </w:rPr>
            </w:pPr>
            <w:r>
              <w:rPr>
                <w:rFonts w:hint="eastAsia"/>
                <w:szCs w:val="21"/>
              </w:rPr>
              <w:t xml:space="preserve">59.8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szCs w:val="21"/>
              </w:rPr>
            </w:pPr>
            <w:r>
              <w:rPr>
                <w:rFonts w:hint="eastAsia"/>
                <w:szCs w:val="21"/>
              </w:rPr>
              <w:t xml:space="preserve">81.3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szCs w:val="21"/>
              </w:rPr>
            </w:pPr>
            <w:r>
              <w:rPr>
                <w:rFonts w:hint="eastAsia"/>
                <w:szCs w:val="21"/>
              </w:rPr>
              <w:t xml:space="preserve">89.1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szCs w:val="21"/>
              </w:rPr>
            </w:pPr>
            <w:r>
              <w:rPr>
                <w:rFonts w:hint="eastAsia"/>
                <w:szCs w:val="21"/>
              </w:rPr>
              <w:t xml:space="preserve">135.7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szCs w:val="21"/>
              </w:rPr>
            </w:pPr>
            <w:r>
              <w:rPr>
                <w:rFonts w:hint="eastAsia"/>
                <w:szCs w:val="21"/>
              </w:rPr>
              <w:t xml:space="preserve">75.2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szCs w:val="21"/>
              </w:rPr>
            </w:pPr>
            <w:r>
              <w:rPr>
                <w:rFonts w:hint="eastAsia"/>
                <w:szCs w:val="21"/>
              </w:rPr>
              <w:t xml:space="preserve">73.8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szCs w:val="21"/>
              </w:rPr>
            </w:pPr>
            <w:r>
              <w:rPr>
                <w:rFonts w:hint="eastAsia"/>
                <w:szCs w:val="21"/>
              </w:rPr>
              <w:t xml:space="preserve">74.5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szCs w:val="21"/>
              </w:rPr>
            </w:pPr>
            <w:r>
              <w:rPr>
                <w:rFonts w:hint="eastAsia"/>
                <w:szCs w:val="21"/>
              </w:rPr>
              <w:t xml:space="preserve">84.4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szCs w:val="21"/>
              </w:rPr>
            </w:pPr>
            <w:r>
              <w:rPr>
                <w:rFonts w:hint="eastAsia"/>
                <w:szCs w:val="21"/>
              </w:rPr>
              <w:t xml:space="preserve">173.4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szCs w:val="21"/>
              </w:rPr>
            </w:pPr>
            <w:r>
              <w:rPr>
                <w:rFonts w:hint="eastAsia"/>
                <w:szCs w:val="21"/>
              </w:rPr>
              <w:t xml:space="preserve">144.2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szCs w:val="21"/>
              </w:rPr>
            </w:pPr>
            <w:r>
              <w:rPr>
                <w:rFonts w:hint="eastAsia"/>
                <w:szCs w:val="21"/>
              </w:rPr>
              <w:t xml:space="preserve">81.5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szCs w:val="21"/>
              </w:rPr>
            </w:pPr>
            <w:r>
              <w:rPr>
                <w:rFonts w:hint="eastAsia"/>
                <w:szCs w:val="21"/>
              </w:rPr>
              <w:t xml:space="preserve">81.6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szCs w:val="21"/>
              </w:rPr>
            </w:pPr>
            <w:r>
              <w:rPr>
                <w:rFonts w:hint="eastAsia"/>
                <w:szCs w:val="21"/>
              </w:rPr>
              <w:t xml:space="preserve">111.0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szCs w:val="21"/>
              </w:rPr>
            </w:pPr>
            <w:r>
              <w:rPr>
                <w:rFonts w:hint="eastAsia"/>
                <w:szCs w:val="21"/>
              </w:rPr>
              <w:t xml:space="preserve">85.6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szCs w:val="21"/>
              </w:rPr>
            </w:pPr>
            <w:r>
              <w:rPr>
                <w:rFonts w:hint="eastAsia"/>
                <w:szCs w:val="21"/>
              </w:rPr>
              <w:t xml:space="preserve">100.9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szCs w:val="21"/>
              </w:rPr>
            </w:pPr>
            <w:r>
              <w:rPr>
                <w:rFonts w:hint="eastAsia"/>
                <w:szCs w:val="21"/>
              </w:rPr>
              <w:t xml:space="preserve">128.9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szCs w:val="21"/>
              </w:rPr>
            </w:pPr>
            <w:r>
              <w:rPr>
                <w:rFonts w:hint="eastAsia"/>
                <w:szCs w:val="21"/>
              </w:rPr>
              <w:t xml:space="preserve">76.1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szCs w:val="21"/>
              </w:rPr>
            </w:pPr>
            <w:r>
              <w:rPr>
                <w:rFonts w:hint="eastAsia"/>
                <w:szCs w:val="21"/>
              </w:rPr>
              <w:t xml:space="preserve">67.8 </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szCs w:val="21"/>
              </w:rPr>
            </w:pPr>
            <w:r>
              <w:rPr>
                <w:rFonts w:hint="eastAsia"/>
                <w:szCs w:val="21"/>
              </w:rPr>
              <w:t xml:space="preserve">75.8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szCs w:val="21"/>
              </w:rPr>
            </w:pPr>
            <w:r>
              <w:rPr>
                <w:rFonts w:hint="eastAsia"/>
                <w:szCs w:val="21"/>
              </w:rPr>
              <w:t>0</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szCs w:val="21"/>
              </w:rPr>
            </w:pPr>
            <w:r>
              <w:rPr>
                <w:rFonts w:hint="eastAsia"/>
                <w:szCs w:val="21"/>
              </w:rPr>
              <w:t xml:space="preserve">65.1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szCs w:val="21"/>
              </w:rPr>
            </w:pPr>
            <w:r>
              <w:rPr>
                <w:rFonts w:hint="eastAsia"/>
                <w:szCs w:val="21"/>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szCs w:val="21"/>
              </w:rPr>
            </w:pPr>
            <w:r>
              <w:rPr>
                <w:rFonts w:hint="eastAsia"/>
                <w:szCs w:val="21"/>
              </w:rPr>
              <w:t xml:space="preserve">77.4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szCs w:val="21"/>
              </w:rPr>
            </w:pPr>
            <w:r>
              <w:rPr>
                <w:rFonts w:hint="eastAsia"/>
                <w:szCs w:val="21"/>
              </w:rPr>
              <w:t xml:space="preserve">91.0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szCs w:val="21"/>
              </w:rPr>
            </w:pPr>
            <w:r>
              <w:rPr>
                <w:rFonts w:hint="eastAsia"/>
                <w:szCs w:val="21"/>
              </w:rPr>
              <w:t xml:space="preserve">160.1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tcBorders>
              <w:bottom w:val="single" w:color="auto" w:sz="4" w:space="0"/>
            </w:tcBorders>
            <w:vAlign w:val="center"/>
          </w:tcPr>
          <w:p>
            <w:pPr>
              <w:spacing w:line="200" w:lineRule="exact"/>
              <w:jc w:val="center"/>
              <w:rPr>
                <w:rFonts w:eastAsia="仿宋_GB2312"/>
                <w:szCs w:val="21"/>
              </w:rPr>
            </w:pPr>
          </w:p>
        </w:tc>
        <w:tc>
          <w:tcPr>
            <w:tcW w:w="2444" w:type="dxa"/>
            <w:tcBorders>
              <w:bottom w:val="single" w:color="auto" w:sz="4" w:space="0"/>
            </w:tcBorders>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bottom w:val="single" w:color="auto" w:sz="4" w:space="0"/>
              <w:right w:val="double" w:color="auto" w:sz="4" w:space="0"/>
            </w:tcBorders>
            <w:vAlign w:val="center"/>
          </w:tcPr>
          <w:p>
            <w:pPr>
              <w:jc w:val="center"/>
              <w:rPr>
                <w:szCs w:val="21"/>
              </w:rPr>
            </w:pPr>
            <w:r>
              <w:rPr>
                <w:rFonts w:hint="eastAsia"/>
                <w:szCs w:val="21"/>
              </w:rPr>
              <w:t xml:space="preserve">136.8 </w:t>
            </w:r>
          </w:p>
        </w:tc>
        <w:tc>
          <w:tcPr>
            <w:tcW w:w="426" w:type="dxa"/>
            <w:vMerge w:val="continue"/>
            <w:tcBorders>
              <w:left w:val="double" w:color="auto" w:sz="4" w:space="0"/>
              <w:bottom w:val="single" w:color="auto" w:sz="4" w:space="0"/>
            </w:tcBorders>
            <w:vAlign w:val="center"/>
          </w:tcPr>
          <w:p>
            <w:pPr>
              <w:spacing w:line="200" w:lineRule="exact"/>
              <w:jc w:val="center"/>
              <w:rPr>
                <w:rFonts w:eastAsia="仿宋_GB2312"/>
                <w:szCs w:val="21"/>
              </w:rPr>
            </w:pPr>
          </w:p>
        </w:tc>
        <w:tc>
          <w:tcPr>
            <w:tcW w:w="2126" w:type="dxa"/>
            <w:tcBorders>
              <w:bottom w:val="single" w:color="auto" w:sz="4" w:space="0"/>
            </w:tcBorders>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bottom w:val="single" w:color="auto" w:sz="4" w:space="0"/>
              <w:right w:val="double" w:color="auto" w:sz="4" w:space="0"/>
            </w:tcBorders>
            <w:vAlign w:val="center"/>
          </w:tcPr>
          <w:p>
            <w:pPr>
              <w:jc w:val="center"/>
              <w:rPr>
                <w:szCs w:val="21"/>
              </w:rPr>
            </w:pPr>
            <w:r>
              <w:rPr>
                <w:rFonts w:hint="eastAsia"/>
                <w:szCs w:val="21"/>
              </w:rPr>
              <w:t xml:space="preserve">65.1 </w:t>
            </w:r>
          </w:p>
        </w:tc>
        <w:tc>
          <w:tcPr>
            <w:tcW w:w="425" w:type="dxa"/>
            <w:tcBorders>
              <w:left w:val="double" w:color="auto" w:sz="4" w:space="0"/>
              <w:bottom w:val="sing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tcBorders>
              <w:bottom w:val="single" w:color="auto" w:sz="4" w:space="0"/>
            </w:tcBorders>
            <w:vAlign w:val="center"/>
          </w:tcPr>
          <w:p>
            <w:pPr>
              <w:rPr>
                <w:rFonts w:eastAsia="仿宋_GB2312" w:cs="宋体"/>
                <w:szCs w:val="21"/>
              </w:rPr>
            </w:pPr>
            <w:r>
              <w:rPr>
                <w:rFonts w:hint="eastAsia" w:eastAsia="仿宋_GB2312" w:cs="宋体"/>
                <w:szCs w:val="21"/>
              </w:rPr>
              <w:t>中石化温州灵昆油库及配套工程项目</w:t>
            </w:r>
          </w:p>
        </w:tc>
        <w:tc>
          <w:tcPr>
            <w:tcW w:w="709" w:type="dxa"/>
            <w:tcBorders>
              <w:bottom w:val="single" w:color="auto" w:sz="4" w:space="0"/>
            </w:tcBorders>
            <w:vAlign w:val="center"/>
          </w:tcPr>
          <w:p>
            <w:pPr>
              <w:jc w:val="center"/>
              <w:rPr>
                <w:szCs w:val="21"/>
              </w:rPr>
            </w:pPr>
            <w:r>
              <w:rPr>
                <w:rFonts w:hint="eastAsia"/>
                <w:szCs w:val="21"/>
              </w:rPr>
              <w:t xml:space="preserve">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241" w:type="dxa"/>
            <w:gridSpan w:val="9"/>
            <w:tcBorders>
              <w:left w:val="nil"/>
              <w:bottom w:val="nil"/>
              <w:right w:val="nil"/>
            </w:tcBorders>
            <w:vAlign w:val="center"/>
          </w:tcPr>
          <w:p>
            <w:pPr>
              <w:spacing w:line="300" w:lineRule="exact"/>
              <w:ind w:right="210"/>
              <w:jc w:val="left"/>
              <w:rPr>
                <w:rFonts w:ascii="黑体" w:hAnsi="黑体" w:eastAsia="黑体" w:cstheme="majorEastAsia"/>
                <w:szCs w:val="21"/>
              </w:rPr>
            </w:pPr>
            <w:r>
              <w:rPr>
                <w:rFonts w:hint="eastAsia" w:ascii="黑体" w:hAnsi="黑体" w:eastAsia="黑体" w:cstheme="majorEastAsia"/>
                <w:szCs w:val="21"/>
              </w:rPr>
              <w:t>备注:市直单位共59个项目，其中有5个省属通信类项目未纳入此表。</w:t>
            </w:r>
          </w:p>
        </w:tc>
      </w:tr>
    </w:tbl>
    <w:p>
      <w:pPr>
        <w:spacing w:line="40" w:lineRule="exact"/>
        <w:ind w:firstLine="5184" w:firstLineChars="1620"/>
        <w:jc w:val="right"/>
        <w:rPr>
          <w:rFonts w:eastAsia="仿宋_GB2312"/>
          <w:sz w:val="32"/>
          <w:szCs w:val="32"/>
          <w:u w:val="single"/>
        </w:rPr>
      </w:pPr>
    </w:p>
    <w:p>
      <w:pPr>
        <w:spacing w:after="120" w:afterLines="50" w:line="240" w:lineRule="atLeast"/>
        <w:rPr>
          <w:rFonts w:eastAsia="黑体"/>
          <w:sz w:val="32"/>
          <w:szCs w:val="32"/>
        </w:rPr>
      </w:pPr>
      <w:r>
        <w:rPr>
          <w:rFonts w:eastAsia="仿宋_GB2312"/>
          <w:sz w:val="32"/>
          <w:szCs w:val="32"/>
          <w:u w:val="single"/>
        </w:rPr>
        <w:br w:type="page"/>
      </w:r>
      <w:r>
        <w:rPr>
          <w:rFonts w:hint="eastAsia" w:eastAsia="黑体"/>
          <w:sz w:val="32"/>
          <w:szCs w:val="32"/>
        </w:rPr>
        <w:t>附件5</w:t>
      </w:r>
    </w:p>
    <w:p>
      <w:pPr>
        <w:spacing w:after="120" w:afterLines="50" w:line="240" w:lineRule="atLeast"/>
        <w:jc w:val="center"/>
        <w:rPr>
          <w:sz w:val="24"/>
        </w:rPr>
      </w:pPr>
      <w:r>
        <w:rPr>
          <w:rFonts w:hint="eastAsia" w:eastAsia="方正小标宋简体"/>
          <w:sz w:val="36"/>
          <w:szCs w:val="36"/>
        </w:rPr>
        <w:t>2018年市重点建设项目开工完成情况表</w:t>
      </w:r>
      <w:r>
        <w:rPr>
          <w:rFonts w:hint="eastAsia" w:eastAsia="楷体_GB2312"/>
          <w:sz w:val="32"/>
          <w:szCs w:val="32"/>
        </w:rPr>
        <w:t>（1-10月）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sz w:val="18"/>
                <w:szCs w:val="18"/>
              </w:rPr>
            </w:pPr>
            <w:r>
              <w:rPr>
                <w:rFonts w:eastAsia="黑体"/>
                <w:sz w:val="18"/>
                <w:szCs w:val="18"/>
              </w:rPr>
              <w:t>单位</w:t>
            </w:r>
          </w:p>
        </w:tc>
        <w:tc>
          <w:tcPr>
            <w:tcW w:w="2024"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pacing w:val="-20"/>
                <w:sz w:val="18"/>
                <w:szCs w:val="18"/>
              </w:rPr>
            </w:pPr>
            <w:r>
              <w:rPr>
                <w:rFonts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2011"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w:t>
            </w:r>
          </w:p>
          <w:p>
            <w:pPr>
              <w:spacing w:line="180" w:lineRule="exact"/>
              <w:jc w:val="center"/>
              <w:rPr>
                <w:rFonts w:eastAsia="黑体"/>
                <w:sz w:val="18"/>
                <w:szCs w:val="18"/>
              </w:rPr>
            </w:pPr>
            <w:r>
              <w:rPr>
                <w:rFonts w:eastAsia="黑体"/>
                <w:sz w:val="18"/>
                <w:szCs w:val="18"/>
              </w:rPr>
              <w:t>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1997"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25" w:type="dxa"/>
            <w:vAlign w:val="center"/>
          </w:tcPr>
          <w:p>
            <w:pPr>
              <w:spacing w:line="180" w:lineRule="exact"/>
              <w:jc w:val="center"/>
              <w:rPr>
                <w:rFonts w:eastAsia="黑体"/>
                <w:sz w:val="18"/>
                <w:szCs w:val="18"/>
              </w:rPr>
            </w:pPr>
            <w:r>
              <w:rPr>
                <w:rFonts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cs="宋体"/>
                <w:sz w:val="16"/>
                <w:szCs w:val="16"/>
              </w:rPr>
              <w:t>垟</w:t>
            </w:r>
            <w:r>
              <w:rPr>
                <w:rFonts w:hint="eastAsia" w:eastAsia="仿宋_GB2312" w:cs="仿宋_GB2312"/>
                <w:sz w:val="16"/>
                <w:szCs w:val="16"/>
              </w:rPr>
              <w:t>城中村项目</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b/>
                <w:sz w:val="16"/>
                <w:szCs w:val="16"/>
              </w:rPr>
            </w:pPr>
            <w:r>
              <w:rPr>
                <w:rFonts w:hint="eastAsia" w:eastAsia="仿宋_GB2312"/>
                <w:b/>
                <w:sz w:val="16"/>
                <w:szCs w:val="16"/>
              </w:rPr>
              <w:t>228国道至323省道连接线</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cs="宋体"/>
                <w:b/>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cs="宋体"/>
                <w:sz w:val="16"/>
                <w:szCs w:val="16"/>
              </w:rPr>
              <w:t>垟</w:t>
            </w:r>
            <w:r>
              <w:rPr>
                <w:rFonts w:hint="eastAsia" w:eastAsia="仿宋_GB2312" w:cs="仿宋_GB2312"/>
                <w:sz w:val="16"/>
                <w:szCs w:val="16"/>
              </w:rPr>
              <w:t>平原排涝工程（苍南一期）</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228国道苍南龙沙至岱岭段</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b/>
                <w:sz w:val="16"/>
                <w:szCs w:val="16"/>
              </w:rPr>
            </w:pPr>
            <w:r>
              <w:rPr>
                <w:rFonts w:hint="eastAsia" w:eastAsia="仿宋_GB2312"/>
                <w:b/>
                <w:sz w:val="16"/>
                <w:szCs w:val="16"/>
              </w:rPr>
              <w:t>228国道洞头灵昆段工程</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cs="宋体"/>
                <w:b/>
                <w:sz w:val="18"/>
                <w:szCs w:val="18"/>
              </w:rPr>
            </w:pPr>
            <w:r>
              <w:rPr>
                <w:rFonts w:hint="eastAsia"/>
                <w:b/>
                <w:sz w:val="18"/>
                <w:szCs w:val="18"/>
              </w:rPr>
              <w:t>6</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cs="宋体"/>
                <w:sz w:val="18"/>
                <w:szCs w:val="18"/>
              </w:rPr>
            </w:pPr>
            <w:r>
              <w:rPr>
                <w:rFonts w:hint="eastAsia"/>
                <w:sz w:val="18"/>
                <w:szCs w:val="18"/>
              </w:rPr>
              <w:t>3</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160" w:lineRule="exact"/>
              <w:jc w:val="center"/>
              <w:rPr>
                <w:rFonts w:eastAsia="仿宋_GB2312"/>
                <w:sz w:val="16"/>
                <w:szCs w:val="16"/>
              </w:rPr>
            </w:pPr>
            <w:r>
              <w:rPr>
                <w:rFonts w:hint="eastAsia" w:eastAsia="仿宋_GB2312"/>
                <w:sz w:val="16"/>
                <w:szCs w:val="16"/>
              </w:rPr>
              <w:t>浙南</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bl>
    <w:p>
      <w:pPr>
        <w:spacing w:line="600" w:lineRule="exact"/>
        <w:jc w:val="left"/>
        <w:rPr>
          <w:rFonts w:eastAsia="黑体"/>
          <w:sz w:val="36"/>
          <w:szCs w:val="36"/>
        </w:rPr>
      </w:pPr>
      <w:r>
        <w:rPr>
          <w:rFonts w:hint="eastAsia" w:eastAsia="黑体"/>
          <w:sz w:val="32"/>
          <w:szCs w:val="32"/>
        </w:rPr>
        <w:t>附件6</w:t>
      </w:r>
    </w:p>
    <w:p>
      <w:pPr>
        <w:spacing w:after="120" w:afterLines="50" w:line="600" w:lineRule="exact"/>
        <w:jc w:val="center"/>
        <w:rPr>
          <w:rFonts w:eastAsia="方正小标宋简体"/>
          <w:sz w:val="36"/>
          <w:szCs w:val="36"/>
        </w:rPr>
      </w:pPr>
      <w:r>
        <w:rPr>
          <w:rFonts w:hint="eastAsia" w:eastAsia="方正小标宋简体"/>
          <w:sz w:val="36"/>
          <w:szCs w:val="36"/>
        </w:rPr>
        <w:t>市四套班子领导挂钩联系重大项目完成情况表</w:t>
      </w:r>
      <w:r>
        <w:rPr>
          <w:rFonts w:hint="eastAsia" w:eastAsia="楷体_GB2312"/>
          <w:sz w:val="32"/>
          <w:szCs w:val="32"/>
        </w:rPr>
        <w:t>（1-10月）</w:t>
      </w:r>
    </w:p>
    <w:p>
      <w:pPr>
        <w:spacing w:line="300" w:lineRule="exact"/>
        <w:ind w:right="210"/>
        <w:jc w:val="right"/>
        <w:rPr>
          <w:rFonts w:eastAsia="楷体_GB2312"/>
          <w:szCs w:val="21"/>
        </w:rPr>
      </w:pPr>
      <w:r>
        <w:rPr>
          <w:rFonts w:hint="eastAsia" w:eastAsia="楷体_GB2312"/>
          <w:szCs w:val="21"/>
        </w:rPr>
        <w:t>单位：亿元、%</w:t>
      </w:r>
    </w:p>
    <w:tbl>
      <w:tblPr>
        <w:tblStyle w:val="8"/>
        <w:tblW w:w="1000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581"/>
        <w:gridCol w:w="913"/>
        <w:gridCol w:w="813"/>
        <w:gridCol w:w="2908"/>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16" w:type="dxa"/>
            <w:vMerge w:val="restart"/>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序号</w:t>
            </w:r>
          </w:p>
        </w:tc>
        <w:tc>
          <w:tcPr>
            <w:tcW w:w="1581" w:type="dxa"/>
            <w:vMerge w:val="restart"/>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项目名称</w:t>
            </w:r>
          </w:p>
        </w:tc>
        <w:tc>
          <w:tcPr>
            <w:tcW w:w="1726" w:type="dxa"/>
            <w:gridSpan w:val="2"/>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投资额情况</w:t>
            </w:r>
          </w:p>
        </w:tc>
        <w:tc>
          <w:tcPr>
            <w:tcW w:w="6277" w:type="dxa"/>
            <w:gridSpan w:val="2"/>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形象进度情况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16" w:type="dxa"/>
            <w:vMerge w:val="continue"/>
            <w:vAlign w:val="center"/>
          </w:tcPr>
          <w:p>
            <w:pPr>
              <w:widowControl/>
              <w:jc w:val="left"/>
              <w:rPr>
                <w:rFonts w:ascii="黑体" w:hAnsi="黑体" w:eastAsia="黑体"/>
                <w:color w:val="000000"/>
                <w:kern w:val="0"/>
                <w:sz w:val="18"/>
                <w:szCs w:val="18"/>
              </w:rPr>
            </w:pPr>
          </w:p>
        </w:tc>
        <w:tc>
          <w:tcPr>
            <w:tcW w:w="1581" w:type="dxa"/>
            <w:vMerge w:val="continue"/>
            <w:vAlign w:val="center"/>
          </w:tcPr>
          <w:p>
            <w:pPr>
              <w:widowControl/>
              <w:jc w:val="left"/>
              <w:rPr>
                <w:rFonts w:ascii="黑体" w:hAnsi="黑体" w:eastAsia="黑体"/>
                <w:color w:val="000000"/>
                <w:kern w:val="0"/>
                <w:sz w:val="18"/>
                <w:szCs w:val="18"/>
              </w:rPr>
            </w:pPr>
          </w:p>
        </w:tc>
        <w:tc>
          <w:tcPr>
            <w:tcW w:w="913" w:type="dxa"/>
            <w:shd w:val="clear" w:color="auto" w:fill="auto"/>
            <w:vAlign w:val="center"/>
          </w:tcPr>
          <w:p>
            <w:pPr>
              <w:widowControl/>
              <w:jc w:val="center"/>
              <w:rPr>
                <w:rFonts w:ascii="黑体" w:hAnsi="黑体" w:eastAsia="黑体"/>
                <w:color w:val="000000"/>
                <w:spacing w:val="-20"/>
                <w:kern w:val="0"/>
                <w:sz w:val="18"/>
                <w:szCs w:val="18"/>
              </w:rPr>
            </w:pPr>
            <w:r>
              <w:rPr>
                <w:rFonts w:ascii="黑体" w:hAnsi="黑体" w:eastAsia="黑体"/>
                <w:color w:val="000000"/>
                <w:spacing w:val="-20"/>
                <w:kern w:val="0"/>
                <w:sz w:val="18"/>
                <w:szCs w:val="18"/>
              </w:rPr>
              <w:t>年度计划</w:t>
            </w:r>
          </w:p>
        </w:tc>
        <w:tc>
          <w:tcPr>
            <w:tcW w:w="813" w:type="dxa"/>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完成率</w:t>
            </w:r>
          </w:p>
        </w:tc>
        <w:tc>
          <w:tcPr>
            <w:tcW w:w="2908" w:type="dxa"/>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年度要求</w:t>
            </w:r>
          </w:p>
        </w:tc>
        <w:tc>
          <w:tcPr>
            <w:tcW w:w="3369" w:type="dxa"/>
            <w:shd w:val="clear" w:color="auto" w:fill="auto"/>
            <w:vAlign w:val="center"/>
          </w:tcPr>
          <w:p>
            <w:pPr>
              <w:widowControl/>
              <w:jc w:val="center"/>
              <w:rPr>
                <w:rFonts w:ascii="黑体" w:hAnsi="黑体" w:eastAsia="黑体"/>
                <w:kern w:val="0"/>
                <w:sz w:val="18"/>
                <w:szCs w:val="18"/>
              </w:rPr>
            </w:pPr>
            <w:r>
              <w:rPr>
                <w:rFonts w:ascii="黑体" w:hAnsi="黑体" w:eastAsia="黑体"/>
                <w:kern w:val="0"/>
                <w:sz w:val="18"/>
                <w:szCs w:val="18"/>
              </w:rPr>
              <w:t>10月止完成进度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62.3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完成江北工作井施工、江中盾构、乐清段857穴坟墓迁移和盐盆街道火龙果基地政策处理工作、瓯江口段SG5标北段村地面附着物清点工作、龙湾段通讯线路迁改工程约1500m管道建设</w:t>
            </w:r>
            <w:r>
              <w:rPr>
                <w:rFonts w:hint="eastAsia" w:eastAsia="仿宋_GB2312"/>
                <w:kern w:val="0"/>
                <w:sz w:val="18"/>
                <w:szCs w:val="18"/>
              </w:rPr>
              <w:t>，完成</w:t>
            </w:r>
            <w:r>
              <w:rPr>
                <w:rFonts w:eastAsia="仿宋_GB2312"/>
                <w:kern w:val="0"/>
                <w:sz w:val="18"/>
                <w:szCs w:val="18"/>
              </w:rPr>
              <w:t>SG5标槽壁加固三轴搅拌桩、端头井加固三轴搅拌桩及地连墙开挖。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106.7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跨线桥、主体项目（市政、景观、建筑立面）基本完工，二期工程前期工作继续推进。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Ⅰ工区完成50%的主体工程，Ⅱ、Ⅲ工区完成主体工程建设，Ⅳ工区完成景观绿化。</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一区段主体工程完成100%，绿化工程正在施工，完成断面回填</w:t>
            </w:r>
            <w:r>
              <w:rPr>
                <w:rFonts w:hint="eastAsia" w:eastAsia="仿宋_GB2312"/>
                <w:kern w:val="0"/>
                <w:sz w:val="18"/>
                <w:szCs w:val="18"/>
              </w:rPr>
              <w:t>、</w:t>
            </w:r>
            <w:r>
              <w:rPr>
                <w:rFonts w:eastAsia="仿宋_GB2312"/>
                <w:kern w:val="0"/>
                <w:sz w:val="18"/>
                <w:szCs w:val="18"/>
              </w:rPr>
              <w:t>栏杆90%</w:t>
            </w:r>
            <w:r>
              <w:rPr>
                <w:rFonts w:hint="eastAsia" w:eastAsia="仿宋_GB2312"/>
                <w:kern w:val="0"/>
                <w:sz w:val="18"/>
                <w:szCs w:val="18"/>
              </w:rPr>
              <w:t>、</w:t>
            </w:r>
            <w:r>
              <w:rPr>
                <w:rFonts w:eastAsia="仿宋_GB2312"/>
                <w:kern w:val="0"/>
                <w:sz w:val="18"/>
                <w:szCs w:val="18"/>
              </w:rPr>
              <w:t>铺装85%，乔木种植50%；二区段完成灯具及坐凳安装；三区段完成铺装。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瑞浦能源动力电池产业园*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一期2栋生产车间完成主体结顶和外墙玻璃安装，进行外墙粉刷；完成厂房内部装修和生产线安装，进行设备调试；研发办公楼和宿舍楼主体已建至4层。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乐清湾港区铁路支线*</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全线工点都已开工，累计97个。建设完成桥梁96.9%</w:t>
            </w:r>
            <w:r>
              <w:rPr>
                <w:rFonts w:hint="eastAsia" w:eastAsia="仿宋_GB2312"/>
                <w:kern w:val="0"/>
                <w:sz w:val="18"/>
                <w:szCs w:val="18"/>
              </w:rPr>
              <w:t>、</w:t>
            </w:r>
            <w:r>
              <w:rPr>
                <w:rFonts w:eastAsia="仿宋_GB2312"/>
                <w:kern w:val="0"/>
                <w:sz w:val="18"/>
                <w:szCs w:val="18"/>
              </w:rPr>
              <w:t>隧道99.4%</w:t>
            </w:r>
            <w:r>
              <w:rPr>
                <w:rFonts w:hint="eastAsia" w:eastAsia="仿宋_GB2312"/>
                <w:kern w:val="0"/>
                <w:sz w:val="18"/>
                <w:szCs w:val="18"/>
              </w:rPr>
              <w:t>、</w:t>
            </w:r>
            <w:r>
              <w:rPr>
                <w:rFonts w:eastAsia="仿宋_GB2312"/>
                <w:kern w:val="0"/>
                <w:sz w:val="18"/>
                <w:szCs w:val="18"/>
              </w:rPr>
              <w:t xml:space="preserve">路基土石方86.9%；架设T梁49孔，正线铺轨4060米，正线上砟2512方；绅坊站房建工程已完成66%。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温州浙南科技城创新创业新天地项目*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一期内幕墙施工，室外附属施工；二期6#楼施工至18层，顺利结顶；三期桩基施工。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初步设计、防洪、环评、水保等专题都已批复，完成控制性工程施工图审查、全线土地勘查定界报告，土地报批组建相关工作全面展开。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温州市七都大桥北汊桥</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南岸第四联箱梁施工；北岸桩基完成55%，箱梁开始施工；主墩Z3承台完成。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中石化温州液化天然气（LNG）项目（含场平工程）*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57.3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开展剩余石料处置。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159.4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桩基施工完成，主体开始施工。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133.5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厂平工程剥离650亩，土石方开挖26万方；隧道开挖91%，二衬完成73%。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416"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581" w:type="dxa"/>
            <w:tcBorders>
              <w:bottom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温州生态园三</w:t>
            </w:r>
            <w:r>
              <w:rPr>
                <w:kern w:val="0"/>
                <w:sz w:val="18"/>
                <w:szCs w:val="18"/>
              </w:rPr>
              <w:t>垟</w:t>
            </w:r>
            <w:r>
              <w:rPr>
                <w:rFonts w:hAnsi="仿宋_GB2312" w:eastAsia="仿宋_GB2312"/>
                <w:kern w:val="0"/>
                <w:sz w:val="18"/>
                <w:szCs w:val="18"/>
              </w:rPr>
              <w:t>城市湿地公园建设工程</w:t>
            </w:r>
          </w:p>
        </w:tc>
        <w:tc>
          <w:tcPr>
            <w:tcW w:w="913"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tcBorders>
              <w:bottom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86.3 </w:t>
            </w:r>
          </w:p>
        </w:tc>
        <w:tc>
          <w:tcPr>
            <w:tcW w:w="2908" w:type="dxa"/>
            <w:tcBorders>
              <w:bottom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369" w:type="dxa"/>
            <w:tcBorders>
              <w:bottom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完成五福源榕树园及景观、三</w:t>
            </w:r>
            <w:r>
              <w:rPr>
                <w:kern w:val="0"/>
                <w:sz w:val="18"/>
                <w:szCs w:val="18"/>
              </w:rPr>
              <w:t>垟</w:t>
            </w:r>
            <w:r>
              <w:rPr>
                <w:rFonts w:hAnsi="仿宋_GB2312" w:eastAsia="仿宋_GB2312"/>
                <w:kern w:val="0"/>
                <w:sz w:val="18"/>
                <w:szCs w:val="18"/>
              </w:rPr>
              <w:t>湿地北部片区西段生态建设</w:t>
            </w:r>
            <w:r>
              <w:rPr>
                <w:rFonts w:eastAsia="仿宋_GB2312"/>
                <w:kern w:val="0"/>
                <w:sz w:val="18"/>
                <w:szCs w:val="18"/>
              </w:rPr>
              <w:t>；三</w:t>
            </w:r>
            <w:r>
              <w:rPr>
                <w:kern w:val="0"/>
                <w:sz w:val="18"/>
                <w:szCs w:val="18"/>
              </w:rPr>
              <w:t>垟</w:t>
            </w:r>
            <w:r>
              <w:rPr>
                <w:rFonts w:hAnsi="仿宋_GB2312" w:eastAsia="仿宋_GB2312"/>
                <w:kern w:val="0"/>
                <w:sz w:val="18"/>
                <w:szCs w:val="18"/>
              </w:rPr>
              <w:t>湿地一期主环线园路等</w:t>
            </w:r>
            <w:r>
              <w:rPr>
                <w:rFonts w:eastAsia="仿宋_GB2312"/>
                <w:kern w:val="0"/>
                <w:sz w:val="18"/>
                <w:szCs w:val="18"/>
              </w:rPr>
              <w:t>12个项目继续施工；生态保育区和城市休闲片区生态建设工程一期完成施工招投标，项目部搭设中；西出入口改造提升处于优化方案阶段。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0000" w:type="dxa"/>
            <w:gridSpan w:val="6"/>
            <w:tcBorders>
              <w:left w:val="nil"/>
              <w:bottom w:val="nil"/>
              <w:right w:val="nil"/>
            </w:tcBorders>
            <w:shd w:val="clear" w:color="auto" w:fill="auto"/>
            <w:vAlign w:val="center"/>
          </w:tcPr>
          <w:p>
            <w:pPr>
              <w:spacing w:line="300" w:lineRule="exact"/>
              <w:ind w:right="210"/>
              <w:jc w:val="left"/>
              <w:rPr>
                <w:rFonts w:ascii="黑体" w:hAnsi="黑体" w:eastAsia="黑体"/>
                <w:szCs w:val="21"/>
              </w:rPr>
            </w:pPr>
            <w:r>
              <w:rPr>
                <w:rFonts w:hint="eastAsia" w:ascii="黑体" w:hAnsi="黑体" w:eastAsia="黑体" w:cstheme="majorEastAsia"/>
                <w:szCs w:val="21"/>
              </w:rPr>
              <w:t>注：带</w:t>
            </w:r>
            <w:r>
              <w:rPr>
                <w:rFonts w:ascii="黑体" w:hAnsi="黑体" w:eastAsia="黑体" w:cstheme="majorEastAsia"/>
                <w:szCs w:val="21"/>
              </w:rPr>
              <w:t>*</w:t>
            </w:r>
            <w:r>
              <w:rPr>
                <w:rFonts w:hint="eastAsia" w:ascii="黑体" w:hAnsi="黑体" w:eastAsia="黑体" w:cstheme="majorEastAsia"/>
                <w:szCs w:val="21"/>
              </w:rPr>
              <w:t>项目为省“4+1”重大项目。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6"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581" w:type="dxa"/>
            <w:tcBorders>
              <w:top w:val="nil"/>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hAnsi="仿宋_GB2312" w:eastAsia="仿宋_GB2312"/>
                <w:color w:val="000000"/>
                <w:kern w:val="0"/>
                <w:sz w:val="18"/>
                <w:szCs w:val="18"/>
              </w:rPr>
              <w:t>平原排涝工程（苍南一期）</w:t>
            </w:r>
          </w:p>
        </w:tc>
        <w:tc>
          <w:tcPr>
            <w:tcW w:w="913"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tcBorders>
              <w:top w:val="nil"/>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53.0 </w:t>
            </w:r>
          </w:p>
        </w:tc>
        <w:tc>
          <w:tcPr>
            <w:tcW w:w="2908" w:type="dxa"/>
            <w:tcBorders>
              <w:top w:val="nil"/>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369" w:type="dxa"/>
            <w:tcBorders>
              <w:top w:val="nil"/>
            </w:tcBorders>
            <w:shd w:val="clear" w:color="auto" w:fill="auto"/>
            <w:vAlign w:val="center"/>
          </w:tcPr>
          <w:p>
            <w:pPr>
              <w:widowControl/>
              <w:jc w:val="left"/>
              <w:rPr>
                <w:rFonts w:eastAsia="仿宋_GB2312"/>
                <w:kern w:val="0"/>
                <w:sz w:val="18"/>
                <w:szCs w:val="18"/>
              </w:rPr>
            </w:pPr>
            <w:r>
              <w:rPr>
                <w:rFonts w:eastAsia="仿宋_GB2312"/>
                <w:kern w:val="0"/>
                <w:sz w:val="18"/>
                <w:szCs w:val="18"/>
              </w:rPr>
              <w:t>灵溪泵站应急工程开工建设</w:t>
            </w:r>
            <w:r>
              <w:rPr>
                <w:rFonts w:hint="eastAsia" w:eastAsia="仿宋_GB2312"/>
                <w:kern w:val="0"/>
                <w:sz w:val="18"/>
                <w:szCs w:val="18"/>
              </w:rPr>
              <w:t>，</w:t>
            </w:r>
            <w:r>
              <w:rPr>
                <w:rFonts w:eastAsia="仿宋_GB2312"/>
                <w:kern w:val="0"/>
                <w:sz w:val="18"/>
                <w:szCs w:val="18"/>
              </w:rPr>
              <w:t>完成工程初设咨询。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108.0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一区一栋已结顶，其余建筑有序推进；二区正在基础建设；三区已有三栋楼完成3层建设；四区（立州）主体工程已完工，进行附属工程建设；五区正在试压；六区（A1地块）开始基础工程建设。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结顶15幢，完成10万</w:t>
            </w:r>
            <w:r>
              <w:rPr>
                <w:rFonts w:hint="eastAsia" w:eastAsia="仿宋_GB2312"/>
                <w:kern w:val="0"/>
                <w:sz w:val="18"/>
                <w:szCs w:val="18"/>
              </w:rPr>
              <w:t>方</w:t>
            </w:r>
            <w:r>
              <w:rPr>
                <w:rFonts w:eastAsia="仿宋_GB2312"/>
                <w:kern w:val="0"/>
                <w:sz w:val="18"/>
                <w:szCs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温州健康产业创新中心</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62.4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A栋基础完成，B栋地下室支撑梁完成25%。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B-11a地块主体结构完成29-30层</w:t>
            </w:r>
            <w:r>
              <w:rPr>
                <w:rFonts w:hint="eastAsia" w:eastAsia="仿宋_GB2312"/>
                <w:kern w:val="0"/>
                <w:sz w:val="18"/>
                <w:szCs w:val="18"/>
              </w:rPr>
              <w:t>，</w:t>
            </w:r>
            <w:r>
              <w:rPr>
                <w:rFonts w:eastAsia="仿宋_GB2312"/>
                <w:kern w:val="0"/>
                <w:sz w:val="18"/>
                <w:szCs w:val="18"/>
              </w:rPr>
              <w:t>主楼砌体施工；B-15地块主体结构完成9-12层；B-17b地块、B-18a地块主体结构完成1-4层。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226.1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hAnsi="仿宋_GB2312" w:eastAsia="仿宋_GB2312"/>
                <w:color w:val="000000"/>
                <w:kern w:val="0"/>
                <w:sz w:val="18"/>
                <w:szCs w:val="18"/>
              </w:rPr>
              <w:t>；隧道、桥梁等控制性工程全面开工。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完成路基8%、桥梁8%、隧道工程8%。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231.0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hAnsi="仿宋_GB2312" w:eastAsia="仿宋_GB2312"/>
                <w:color w:val="000000"/>
                <w:kern w:val="0"/>
                <w:sz w:val="18"/>
                <w:szCs w:val="18"/>
              </w:rPr>
              <w:t>；控制点（隧道、桥梁）等开工。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完成桥梁8%、隧道工程8%、路基8%。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100.4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完成珠岙轻工园主体验收</w:t>
            </w:r>
            <w:r>
              <w:rPr>
                <w:rFonts w:hint="eastAsia" w:eastAsia="仿宋_GB2312"/>
                <w:kern w:val="0"/>
                <w:sz w:val="18"/>
                <w:szCs w:val="18"/>
              </w:rPr>
              <w:t>，</w:t>
            </w:r>
            <w:r>
              <w:rPr>
                <w:rFonts w:eastAsia="仿宋_GB2312"/>
                <w:kern w:val="0"/>
                <w:sz w:val="18"/>
                <w:szCs w:val="18"/>
              </w:rPr>
              <w:t>幕墙、附属工程85%，电梯安装80%，空调、太阳能施工；珠岙流程园有4幢室内水电、门窗安装，有3幢主体施工，有1幢打桩；罗浮流程园桩基施工；塘头铸造园场地平整。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昆阳镇段（城东段）进行松木桩及驳坎施工，完成河道整治1.76公里。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87.0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桩基施工完成，地下室开挖阶段。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178.3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一期厂房主体建成，装饰装修完成90%；二期主体建成，完成装饰装修60%。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121.2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369" w:type="dxa"/>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w:t>
            </w:r>
            <w:r>
              <w:rPr>
                <w:rFonts w:eastAsia="仿宋_GB2312"/>
                <w:kern w:val="0"/>
                <w:sz w:val="18"/>
                <w:szCs w:val="18"/>
              </w:rPr>
              <w:t>总体9.3%，路基1%</w:t>
            </w:r>
            <w:r>
              <w:rPr>
                <w:rFonts w:hint="eastAsia" w:eastAsia="仿宋_GB2312"/>
                <w:kern w:val="0"/>
                <w:sz w:val="18"/>
                <w:szCs w:val="18"/>
              </w:rPr>
              <w:t>、</w:t>
            </w:r>
            <w:r>
              <w:rPr>
                <w:rFonts w:eastAsia="仿宋_GB2312"/>
                <w:kern w:val="0"/>
                <w:sz w:val="18"/>
                <w:szCs w:val="18"/>
              </w:rPr>
              <w:t>桥梁0%</w:t>
            </w:r>
            <w:r>
              <w:rPr>
                <w:rFonts w:hint="eastAsia" w:eastAsia="仿宋_GB2312"/>
                <w:kern w:val="0"/>
                <w:sz w:val="18"/>
                <w:szCs w:val="18"/>
              </w:rPr>
              <w:t>、</w:t>
            </w:r>
            <w:r>
              <w:rPr>
                <w:rFonts w:eastAsia="仿宋_GB2312"/>
                <w:kern w:val="0"/>
                <w:sz w:val="18"/>
                <w:szCs w:val="18"/>
              </w:rPr>
              <w:t>隧道0%</w:t>
            </w:r>
            <w:r>
              <w:rPr>
                <w:rFonts w:hint="eastAsia" w:eastAsia="仿宋_GB2312"/>
                <w:kern w:val="0"/>
                <w:sz w:val="18"/>
                <w:szCs w:val="18"/>
              </w:rPr>
              <w:t>、</w:t>
            </w:r>
            <w:r>
              <w:rPr>
                <w:rFonts w:eastAsia="仿宋_GB2312"/>
                <w:kern w:val="0"/>
                <w:sz w:val="18"/>
                <w:szCs w:val="18"/>
              </w:rPr>
              <w:t>其他费用66.9%</w:t>
            </w:r>
            <w:r>
              <w:rPr>
                <w:rFonts w:hint="eastAsia"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文成县下沙</w:t>
            </w:r>
            <w:r>
              <w:rPr>
                <w:kern w:val="0"/>
                <w:sz w:val="18"/>
                <w:szCs w:val="18"/>
              </w:rPr>
              <w:t>垟</w:t>
            </w:r>
            <w:r>
              <w:rPr>
                <w:rFonts w:hAnsi="仿宋_GB2312" w:eastAsia="仿宋_GB2312"/>
                <w:kern w:val="0"/>
                <w:sz w:val="18"/>
                <w:szCs w:val="18"/>
              </w:rPr>
              <w:t>城中村项目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完成土方外运工程量80%，边坡削坡工程量85%，边坡锚杆工程量63%</w:t>
            </w:r>
            <w:r>
              <w:rPr>
                <w:rFonts w:hint="eastAsia" w:eastAsia="仿宋_GB2312"/>
                <w:kern w:val="0"/>
                <w:sz w:val="18"/>
                <w:szCs w:val="18"/>
              </w:rPr>
              <w:t>，</w:t>
            </w:r>
            <w:r>
              <w:rPr>
                <w:rFonts w:eastAsia="仿宋_GB2312"/>
                <w:kern w:val="0"/>
                <w:sz w:val="18"/>
                <w:szCs w:val="18"/>
              </w:rPr>
              <w:t>格沟梁工程量50%，边坡抗滑桩工程量40%。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133.3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岭泰隧洞开挖115m，樟岭隧洞出口开挖103.57m，2#施工区施工营地等临建设施完成，开始施工道路修筑。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完成路基工程43.2%，桥梁工程桩基13根，隧道工程进尺161米。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143.5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一期结构封顶，二期打桩完成1/2。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虹桥电子信息产业园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74.5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三通一平完成</w:t>
            </w:r>
            <w:r>
              <w:rPr>
                <w:rFonts w:hint="eastAsia" w:eastAsia="仿宋_GB2312"/>
                <w:kern w:val="0"/>
                <w:sz w:val="18"/>
                <w:szCs w:val="18"/>
              </w:rPr>
              <w:t>，</w:t>
            </w:r>
            <w:r>
              <w:rPr>
                <w:rFonts w:eastAsia="仿宋_GB2312"/>
                <w:kern w:val="0"/>
                <w:sz w:val="18"/>
                <w:szCs w:val="18"/>
              </w:rPr>
              <w:t>15家企业入驻开工。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乐清经济开发区智能科技产业园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70.4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入驻企业增至79家，宏雁合金开工建设，九科电气结顶。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1标段：学生宿舍外墙砖、粉刷完成；2标段：学生宿舍外墙砖完成，行政楼、食堂、汽机学院通过中间验收。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160.1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主体完成，进入装饰装修阶段。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105.7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厂房全部结顶，处于附属建设阶段。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龙江路电力线上改下迁改工程（中心区段）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管桩施工，拉森钢板桩施工；k1+212-k1+272管廊顶板支模，k0+876-k0+936垫层施工，k0+460-k0+500第一道钢支撑施工；电力、综合通信、燃气迁改</w:t>
            </w:r>
            <w:r>
              <w:rPr>
                <w:rFonts w:hint="eastAsia" w:eastAsia="仿宋_GB2312"/>
                <w:kern w:val="0"/>
                <w:sz w:val="18"/>
                <w:szCs w:val="18"/>
              </w:rPr>
              <w:t>，</w:t>
            </w:r>
            <w:r>
              <w:rPr>
                <w:rFonts w:eastAsia="仿宋_GB2312"/>
                <w:kern w:val="0"/>
                <w:sz w:val="18"/>
                <w:szCs w:val="18"/>
              </w:rPr>
              <w:t>土方外运。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158.8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桥梁驳坎工程C25钢筋砼底、景观亭预留柱、钢筋砼联系梁、浆砌块石施工。办公楼G-17b4地块完成大门改建；完成西侧院墙外移、广告布设。工程桩基施工完成72根。安置房G-18、G-21b、G-22地块施工许可证、建设工程规划许可证办理完成。开始临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1标段主体厂房基本结顶，部分服务用房完成；2标段部分厂房结顶，开始安装工程。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337.2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凤凰路（腾达路</w:t>
            </w:r>
            <w:r>
              <w:rPr>
                <w:rFonts w:hint="eastAsia" w:eastAsia="仿宋_GB2312"/>
                <w:kern w:val="0"/>
                <w:sz w:val="18"/>
                <w:szCs w:val="18"/>
              </w:rPr>
              <w:t>-</w:t>
            </w:r>
            <w:r>
              <w:rPr>
                <w:rFonts w:eastAsia="仿宋_GB2312"/>
                <w:kern w:val="0"/>
                <w:sz w:val="18"/>
                <w:szCs w:val="18"/>
              </w:rPr>
              <w:t>万松东路）路基工程和管道工程基本完成，凤凰路三号桥桥梁桩基工程完成，望海路、望湖路桩基施工。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170.7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369"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会展中心项目桩基工程全部完成,围护结构施工、地下室底板施工</w:t>
            </w:r>
            <w:r>
              <w:rPr>
                <w:rFonts w:hint="eastAsia" w:eastAsia="仿宋_GB2312"/>
                <w:color w:val="000000"/>
                <w:kern w:val="0"/>
                <w:sz w:val="18"/>
                <w:szCs w:val="18"/>
              </w:rPr>
              <w:t>；</w:t>
            </w:r>
            <w:r>
              <w:rPr>
                <w:rFonts w:eastAsia="仿宋_GB2312"/>
                <w:color w:val="000000"/>
                <w:kern w:val="0"/>
                <w:sz w:val="18"/>
                <w:szCs w:val="18"/>
              </w:rPr>
              <w:t>温州设计学院创意设计基地项目桩基工程完成</w:t>
            </w:r>
            <w:r>
              <w:rPr>
                <w:rFonts w:hint="eastAsia" w:eastAsia="仿宋_GB2312"/>
                <w:color w:val="000000"/>
                <w:kern w:val="0"/>
                <w:sz w:val="18"/>
                <w:szCs w:val="18"/>
              </w:rPr>
              <w:t>，进行</w:t>
            </w:r>
            <w:r>
              <w:rPr>
                <w:rFonts w:eastAsia="仿宋_GB2312"/>
                <w:color w:val="000000"/>
                <w:kern w:val="0"/>
                <w:sz w:val="18"/>
                <w:szCs w:val="18"/>
              </w:rPr>
              <w:t>检测，土方开挖。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传化公路港（一期）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完成挡墙、二级沉淀池工程，基础工程70%。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完成基础施工70%。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温州绕城高速公路北线二期*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81.7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主体路基、桥梁、隧道工程基本完成；路面完成25%</w:t>
            </w:r>
            <w:r>
              <w:rPr>
                <w:rFonts w:hint="eastAsia" w:eastAsia="仿宋_GB2312"/>
                <w:kern w:val="0"/>
                <w:sz w:val="18"/>
                <w:szCs w:val="18"/>
              </w:rPr>
              <w:t>，</w:t>
            </w:r>
            <w:r>
              <w:rPr>
                <w:rFonts w:eastAsia="仿宋_GB2312"/>
                <w:kern w:val="0"/>
                <w:sz w:val="18"/>
                <w:szCs w:val="18"/>
              </w:rPr>
              <w:t>房建完成37.9%。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306.9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1号地块1#、2#、3#车间安装</w:t>
            </w:r>
            <w:r>
              <w:rPr>
                <w:rFonts w:hint="eastAsia" w:eastAsia="仿宋_GB2312"/>
                <w:kern w:val="0"/>
                <w:sz w:val="18"/>
                <w:szCs w:val="18"/>
              </w:rPr>
              <w:t>，</w:t>
            </w:r>
            <w:r>
              <w:rPr>
                <w:rFonts w:eastAsia="仿宋_GB2312"/>
                <w:kern w:val="0"/>
                <w:sz w:val="18"/>
                <w:szCs w:val="18"/>
              </w:rPr>
              <w:t>室外场地平整，室外管道安装。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应急段桩基施工18%。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温州奥林匹克体育中心-主体育场二期工程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完成主体育场土方清运施工单位招标备案、监理单位招标备案、超限结构论证、</w:t>
            </w:r>
            <w:r>
              <w:rPr>
                <w:rFonts w:hint="eastAsia" w:eastAsia="仿宋_GB2312"/>
                <w:kern w:val="0"/>
                <w:sz w:val="18"/>
                <w:szCs w:val="18"/>
              </w:rPr>
              <w:t>施工图</w:t>
            </w:r>
            <w:r>
              <w:rPr>
                <w:rFonts w:eastAsia="仿宋_GB2312"/>
                <w:kern w:val="0"/>
                <w:sz w:val="18"/>
                <w:szCs w:val="18"/>
              </w:rPr>
              <w:t>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温州肯恩大学</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369"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建筑设计学院</w:t>
            </w:r>
            <w:r>
              <w:rPr>
                <w:rFonts w:hint="eastAsia" w:eastAsia="仿宋_GB2312"/>
                <w:color w:val="000000"/>
                <w:kern w:val="0"/>
                <w:sz w:val="18"/>
                <w:szCs w:val="18"/>
              </w:rPr>
              <w:t>、</w:t>
            </w:r>
            <w:r>
              <w:rPr>
                <w:rFonts w:eastAsia="仿宋_GB2312"/>
                <w:color w:val="000000"/>
                <w:kern w:val="0"/>
                <w:sz w:val="18"/>
                <w:szCs w:val="18"/>
              </w:rPr>
              <w:t>宿舍二区</w:t>
            </w:r>
            <w:r>
              <w:rPr>
                <w:rFonts w:hint="eastAsia" w:eastAsia="仿宋_GB2312"/>
                <w:color w:val="000000"/>
                <w:kern w:val="0"/>
                <w:sz w:val="18"/>
                <w:szCs w:val="18"/>
              </w:rPr>
              <w:t>、</w:t>
            </w:r>
            <w:r>
              <w:rPr>
                <w:rFonts w:eastAsia="仿宋_GB2312"/>
                <w:color w:val="000000"/>
                <w:kern w:val="0"/>
                <w:sz w:val="18"/>
                <w:szCs w:val="18"/>
              </w:rPr>
              <w:t>四标道路及水渠</w:t>
            </w:r>
            <w:r>
              <w:rPr>
                <w:rFonts w:hint="eastAsia" w:eastAsia="仿宋_GB2312"/>
                <w:color w:val="000000"/>
                <w:kern w:val="0"/>
                <w:sz w:val="18"/>
                <w:szCs w:val="18"/>
              </w:rPr>
              <w:t>施工</w:t>
            </w:r>
            <w:r>
              <w:rPr>
                <w:rFonts w:eastAsia="仿宋_GB2312"/>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龙丽温高速公路文成至瑞安段*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完成路基84.04%、桥涵81.37%、隧道89.22%。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溧阳至宁德高速公路（G4012）文成至泰顺段*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 隧道工程45%。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完成路基26%、桥涵21%、隧道工程26.5%。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叶胜导洞进口边仰坡钢筋网片、锚杆、喷射</w:t>
            </w:r>
            <w:r>
              <w:rPr>
                <w:rFonts w:hint="eastAsia" w:eastAsia="仿宋_GB2312"/>
                <w:kern w:val="0"/>
                <w:sz w:val="18"/>
                <w:szCs w:val="18"/>
                <w:lang w:eastAsia="zh-CN"/>
              </w:rPr>
              <w:t>混凝土</w:t>
            </w:r>
            <w:r>
              <w:rPr>
                <w:rFonts w:eastAsia="仿宋_GB2312"/>
                <w:kern w:val="0"/>
                <w:sz w:val="18"/>
                <w:szCs w:val="18"/>
              </w:rPr>
              <w:t>施工完成，导洞施工至K0+193；叶胜导洞出口：导洞施工至K1+414，累计进尺981m；干演便道开挖完成47000方，便道填筑完成24500方。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温州市瓯江口新区一期市政工程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完成道路31.1公里，桥梁36座，管廊12.8公里，绿化种植54.8公顷。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196.0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工业标段：生产厂房主</w:t>
            </w:r>
            <w:r>
              <w:rPr>
                <w:rFonts w:hint="eastAsia" w:eastAsia="仿宋_GB2312"/>
                <w:kern w:val="0"/>
                <w:sz w:val="18"/>
                <w:szCs w:val="18"/>
              </w:rPr>
              <w:t>体</w:t>
            </w:r>
            <w:r>
              <w:rPr>
                <w:rFonts w:eastAsia="仿宋_GB2312"/>
                <w:kern w:val="0"/>
                <w:sz w:val="18"/>
                <w:szCs w:val="18"/>
              </w:rPr>
              <w:t>和生产设备全部完工。民用标段：工程完工验收，问题整改</w:t>
            </w:r>
            <w:r>
              <w:rPr>
                <w:rFonts w:hint="eastAsia"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浙江合泰汽车科技有限公司汽车零部件项目</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1#2#6#7#生产车间和1#2#研发车间二次结构施工中；完成3#4#7#8#生产车间二次结构和9#生产车间三层柱、四层梁板；10#生产车间1-6轴交Q-E轴二层柱、三层梁板，1#宿舍楼三层柱、四层梁板，2#宿舍楼二层柱、三层梁板搭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100.9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仰义水闸、十里水闸灌注桩施工，双岙河、丰门河土石方工程施工，江湾路箱涵场地清理。应急工程二期主体工程施工。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88.8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长浃河、站东河开始绿化；完成十八湾河清淤，长浃河园路基础施工，护岸工程阳桐河900米、雄溪河800米、站西河100米；长浃支河完成仙门河清淤14万方。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完成开工标段土方开挖11%，河道桩基12%，水闸导流工程70%,隧洞进洞前的政策处理</w:t>
            </w:r>
            <w:r>
              <w:rPr>
                <w:rFonts w:hint="eastAsia" w:eastAsia="仿宋_GB2312"/>
                <w:kern w:val="0"/>
                <w:sz w:val="18"/>
                <w:szCs w:val="18"/>
              </w:rPr>
              <w:t>因</w:t>
            </w:r>
            <w:r>
              <w:rPr>
                <w:rFonts w:eastAsia="仿宋_GB2312"/>
                <w:kern w:val="0"/>
                <w:sz w:val="18"/>
                <w:szCs w:val="18"/>
              </w:rPr>
              <w:t xml:space="preserve">大设计变更而暂停。做好工程施工前准备，完成东排城东水闸用海审批。对接状元、海滨街道落实临时用地政策处理。完成2标的天然气管道专家论证、破堤方案专家论证。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温州市温瑞平原东片排涝工程经开区段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完成四甲浦、新川浦二期，5、6号湖泊开挖项目进场施工。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93.3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奥体站以西段已通车试运行。主体及车站工程：除机场段外，车站土建</w:t>
            </w:r>
            <w:r>
              <w:rPr>
                <w:rFonts w:hint="eastAsia" w:eastAsia="仿宋_GB2312"/>
                <w:kern w:val="0"/>
                <w:sz w:val="18"/>
                <w:szCs w:val="18"/>
              </w:rPr>
              <w:t>、</w:t>
            </w:r>
            <w:r>
              <w:rPr>
                <w:rFonts w:eastAsia="仿宋_GB2312"/>
                <w:kern w:val="0"/>
                <w:sz w:val="18"/>
                <w:szCs w:val="18"/>
              </w:rPr>
              <w:t>铺轨</w:t>
            </w:r>
            <w:r>
              <w:rPr>
                <w:rFonts w:hint="eastAsia" w:eastAsia="仿宋_GB2312"/>
                <w:kern w:val="0"/>
                <w:sz w:val="18"/>
                <w:szCs w:val="18"/>
              </w:rPr>
              <w:t>基本完成</w:t>
            </w:r>
            <w:r>
              <w:rPr>
                <w:rFonts w:eastAsia="仿宋_GB2312"/>
                <w:kern w:val="0"/>
                <w:sz w:val="18"/>
                <w:szCs w:val="18"/>
              </w:rPr>
              <w:t>，新增SG17标已完成桩基施工；        外立面装修部分：外墙砌筑</w:t>
            </w:r>
            <w:r>
              <w:rPr>
                <w:rFonts w:hint="eastAsia" w:eastAsia="仿宋_GB2312"/>
                <w:kern w:val="0"/>
                <w:sz w:val="18"/>
                <w:szCs w:val="18"/>
              </w:rPr>
              <w:t>、</w:t>
            </w:r>
            <w:r>
              <w:rPr>
                <w:rFonts w:eastAsia="仿宋_GB2312"/>
                <w:kern w:val="0"/>
                <w:sz w:val="18"/>
                <w:szCs w:val="18"/>
              </w:rPr>
              <w:t>声屏障、景观亮化工程</w:t>
            </w:r>
            <w:r>
              <w:rPr>
                <w:rFonts w:hint="eastAsia" w:eastAsia="仿宋_GB2312"/>
                <w:kern w:val="0"/>
                <w:sz w:val="18"/>
                <w:szCs w:val="18"/>
              </w:rPr>
              <w:t>基本完成；</w:t>
            </w:r>
            <w:r>
              <w:rPr>
                <w:rFonts w:eastAsia="仿宋_GB2312"/>
                <w:kern w:val="0"/>
                <w:sz w:val="18"/>
                <w:szCs w:val="18"/>
              </w:rPr>
              <w:t>机电部分：已完成奥体站以西12个站点的风水电安装、机电安装、电力工程、通信及信号施工、综合监控、接触网等工程，其中接触网工程已完成单位工程验收</w:t>
            </w:r>
            <w:r>
              <w:rPr>
                <w:rFonts w:hint="eastAsia" w:eastAsia="仿宋_GB2312"/>
                <w:kern w:val="0"/>
                <w:sz w:val="18"/>
                <w:szCs w:val="18"/>
              </w:rPr>
              <w:t>。</w:t>
            </w:r>
            <w:r>
              <w:rPr>
                <w:rFonts w:eastAsia="仿宋_GB2312"/>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128.1 </w:t>
            </w:r>
          </w:p>
        </w:tc>
        <w:tc>
          <w:tcPr>
            <w:tcW w:w="2908"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圆通、申通主体已全部结顶，正在进行附属建设。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主线土建工程基本完工。完成路面85.0%、交安77.5%、机电87.3%、房建62.1%、声屏障86.</w:t>
            </w:r>
            <w:r>
              <w:rPr>
                <w:rFonts w:hint="eastAsia" w:eastAsia="仿宋_GB2312"/>
                <w:kern w:val="0"/>
                <w:sz w:val="18"/>
                <w:szCs w:val="18"/>
              </w:rPr>
              <w:t>3</w:t>
            </w:r>
            <w:r>
              <w:rPr>
                <w:rFonts w:eastAsia="仿宋_GB2312"/>
                <w:kern w:val="0"/>
                <w:sz w:val="18"/>
                <w:szCs w:val="18"/>
              </w:rPr>
              <w:t>%、绿化39.</w:t>
            </w:r>
            <w:r>
              <w:rPr>
                <w:rFonts w:hint="eastAsia" w:eastAsia="仿宋_GB2312"/>
                <w:kern w:val="0"/>
                <w:sz w:val="18"/>
                <w:szCs w:val="18"/>
              </w:rPr>
              <w:t>4</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温州瓯江北口大桥工程*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81.5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完成桥梁总体形象进度31.</w:t>
            </w:r>
            <w:r>
              <w:rPr>
                <w:rFonts w:hint="eastAsia" w:eastAsia="仿宋_GB2312"/>
                <w:kern w:val="0"/>
                <w:sz w:val="18"/>
                <w:szCs w:val="18"/>
              </w:rPr>
              <w:t>3</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完成路基工程91.2%、桥梁工程94%；路面工程已进场开展临建工作，其它后续工程施工图已批复。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完成路基工程80.1%、桥梁工程 89.6%、隧道工程80.3%；路面工程施工标和后续工程监理标已进场；其他后续工程施工图已批复，招标文件已审查。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开展勘察设计招投标、模拟审批程序。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完成审计、监理单位招投标、PPP合同签订；完成龙山隧道口坟墓迁移106座、用地红线勘测定界图、全线道路断面复测、龙山隧道口进口1200</w:t>
            </w:r>
            <w:r>
              <w:rPr>
                <w:kern w:val="0"/>
                <w:sz w:val="18"/>
                <w:szCs w:val="18"/>
              </w:rPr>
              <w:t>㎡</w:t>
            </w:r>
            <w:r>
              <w:rPr>
                <w:rFonts w:hAnsi="仿宋_GB2312" w:eastAsia="仿宋_GB2312"/>
                <w:kern w:val="0"/>
                <w:sz w:val="18"/>
                <w:szCs w:val="18"/>
              </w:rPr>
              <w:t>清表；世纪大道互通红线用地征地完成</w:t>
            </w:r>
            <w:r>
              <w:rPr>
                <w:rFonts w:eastAsia="仿宋_GB2312"/>
                <w:kern w:val="0"/>
                <w:sz w:val="18"/>
                <w:szCs w:val="18"/>
              </w:rPr>
              <w:t>46.5亩，路基完成塑料排水板14万m，碎石垫层2370.6m</w:t>
            </w:r>
            <w:r>
              <w:rPr>
                <w:rFonts w:eastAsia="仿宋_GB2312"/>
                <w:kern w:val="0"/>
                <w:sz w:val="18"/>
                <w:szCs w:val="18"/>
                <w:vertAlign w:val="superscript"/>
              </w:rPr>
              <w:t>3</w:t>
            </w:r>
            <w:r>
              <w:rPr>
                <w:rFonts w:eastAsia="仿宋_GB2312"/>
                <w:kern w:val="0"/>
                <w:sz w:val="18"/>
                <w:szCs w:val="18"/>
              </w:rPr>
              <w:t>，水泥搅拌桩13760m；金乡互通（龙金大道向标头方向）新征用地全部量毕，线内房屋在评估；金乡互通段完成临时用地及龙山隧道进口段工区驻地场地清表并开始硬化工作。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已完成招标工作。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228国道洞头灵昆段工程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PPP项目政府采购、监理已发布招标公告；PPP实施方案通过财政部PPP中心审查，入库成功；迁改方案招标文件初稿编制完成，待审核；完成2台变压器安装。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hAnsi="仿宋_GB2312" w:eastAsia="仿宋_GB2312"/>
                <w:color w:val="000000"/>
                <w:kern w:val="0"/>
                <w:sz w:val="18"/>
                <w:szCs w:val="18"/>
              </w:rPr>
              <w:t>至鳌江段公路工程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166.8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完成路基工程18%、桥梁工程16%、隧道工程4%。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永嘉县职业教育中心一期工程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69.8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临时设施完成95%</w:t>
            </w:r>
            <w:r>
              <w:rPr>
                <w:rFonts w:hint="eastAsia" w:eastAsia="仿宋_GB2312"/>
                <w:kern w:val="0"/>
                <w:sz w:val="18"/>
                <w:szCs w:val="18"/>
              </w:rPr>
              <w:t>，</w:t>
            </w:r>
            <w:r>
              <w:rPr>
                <w:rFonts w:eastAsia="仿宋_GB2312"/>
                <w:kern w:val="0"/>
                <w:sz w:val="18"/>
                <w:szCs w:val="18"/>
              </w:rPr>
              <w:t>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中电温州电子信息产业园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74.6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中国电子（温州）信息港B-28b地块一二期工程19#楼主体结构全部封顶，二次结构砌体工程完工；外墙涂料完成，室外综合管网正在施工。B-28b地块三期工程已取得施工许可证，正在办理质安监手续。B-29b地块工程办理桩基先行手续。C-14g和C-14d设计方案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29.3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完成1号楼主楼幕墙横梁安装80%，3号楼砌体60%。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华峰新材料产业园*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WPU1、WPU2、PU1、PU2、PU4车间、变配电楼、铁桶库及机修车间、甲类仓库结顶；甲类、乙类、中间体罐区、事故应急水池、污水处理站完成主体建设；WPU1、WPU2车间在设备安装。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东新产城科技创意园一期</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190.1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 xml:space="preserve">桩基施工中。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86.4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进行码头装卸设备及预制梁场、pc生产线建设。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148.4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主体施工。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85.4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完成二装工程80%、净化单位55%。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416" w:type="dxa"/>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581" w:type="dxa"/>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913" w:type="dxa"/>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95.0 </w:t>
            </w:r>
          </w:p>
        </w:tc>
        <w:tc>
          <w:tcPr>
            <w:tcW w:w="2908" w:type="dxa"/>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hAnsi="仿宋_GB2312" w:eastAsia="仿宋_GB2312"/>
                <w:kern w:val="0"/>
                <w:sz w:val="18"/>
                <w:szCs w:val="18"/>
              </w:rPr>
              <w:t>天顶湖香水湾康体养生</w:t>
            </w:r>
            <w:r>
              <w:rPr>
                <w:rFonts w:hint="eastAsia" w:hAnsi="仿宋_GB2312" w:eastAsia="仿宋_GB2312"/>
                <w:kern w:val="0"/>
                <w:sz w:val="18"/>
                <w:szCs w:val="18"/>
                <w:lang w:eastAsia="zh-CN"/>
              </w:rPr>
              <w:t>度假村</w:t>
            </w:r>
            <w:r>
              <w:rPr>
                <w:rFonts w:hAnsi="仿宋_GB2312" w:eastAsia="仿宋_GB2312"/>
                <w:kern w:val="0"/>
                <w:sz w:val="18"/>
                <w:szCs w:val="18"/>
              </w:rPr>
              <w:t>（天湖庄园）等项目正式开工建设；南田镇刘基庙外围仿古街区项目、黄坦镇栖真寺扩建项目等项目加快前期工作，争取节点开工。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刘基庙外围仿古街区项目完成土地回填，二级旅游服务中心完成钢结构主体</w:t>
            </w:r>
            <w:r>
              <w:rPr>
                <w:rFonts w:hint="eastAsia" w:eastAsia="仿宋_GB2312"/>
                <w:kern w:val="0"/>
                <w:sz w:val="18"/>
                <w:szCs w:val="18"/>
              </w:rPr>
              <w:t>、</w:t>
            </w:r>
            <w:r>
              <w:rPr>
                <w:rFonts w:eastAsia="仿宋_GB2312"/>
                <w:kern w:val="0"/>
                <w:sz w:val="18"/>
                <w:szCs w:val="18"/>
              </w:rPr>
              <w:t>一层墙面建设；刘伯温故里提升工程、新56省道接南田公路景观绿化工程完工；天顶湖旅游接待中心C区</w:t>
            </w:r>
            <w:r>
              <w:rPr>
                <w:rFonts w:hint="eastAsia" w:eastAsia="仿宋_GB2312"/>
                <w:kern w:val="0"/>
                <w:sz w:val="18"/>
                <w:szCs w:val="18"/>
              </w:rPr>
              <w:t>完成</w:t>
            </w:r>
            <w:r>
              <w:rPr>
                <w:rFonts w:eastAsia="仿宋_GB2312"/>
                <w:kern w:val="0"/>
                <w:sz w:val="18"/>
                <w:szCs w:val="18"/>
              </w:rPr>
              <w:t>精装修70%，A2区</w:t>
            </w:r>
            <w:r>
              <w:rPr>
                <w:rFonts w:hint="eastAsia" w:eastAsia="仿宋_GB2312"/>
                <w:kern w:val="0"/>
                <w:sz w:val="18"/>
                <w:szCs w:val="18"/>
              </w:rPr>
              <w:t>主体施工</w:t>
            </w:r>
            <w:r>
              <w:rPr>
                <w:rFonts w:eastAsia="仿宋_GB2312"/>
                <w:kern w:val="0"/>
                <w:sz w:val="18"/>
                <w:szCs w:val="18"/>
              </w:rPr>
              <w:t>；天顶湖山地运动休闲中心完成2.8公里赛道路基贯通，发车台、观看台完成打桩；黄坦镇</w:t>
            </w:r>
            <w:r>
              <w:rPr>
                <w:rFonts w:hint="eastAsia" w:eastAsia="仿宋_GB2312"/>
                <w:kern w:val="0"/>
                <w:sz w:val="18"/>
                <w:szCs w:val="18"/>
              </w:rPr>
              <w:t>“</w:t>
            </w:r>
            <w:r>
              <w:rPr>
                <w:rFonts w:eastAsia="仿宋_GB2312"/>
                <w:kern w:val="0"/>
                <w:sz w:val="18"/>
                <w:szCs w:val="18"/>
              </w:rPr>
              <w:t>东方慢城</w:t>
            </w:r>
            <w:r>
              <w:rPr>
                <w:rFonts w:hint="eastAsia" w:eastAsia="仿宋_GB2312"/>
                <w:kern w:val="0"/>
                <w:sz w:val="18"/>
                <w:szCs w:val="18"/>
              </w:rPr>
              <w:t>”</w:t>
            </w:r>
            <w:r>
              <w:rPr>
                <w:rFonts w:eastAsia="仿宋_GB2312"/>
                <w:kern w:val="0"/>
                <w:sz w:val="18"/>
                <w:szCs w:val="18"/>
              </w:rPr>
              <w:t>飞云湖小镇绿城桃李春风子项目基础进场施工，樱花岛子项目进行分户测量；黄坦镇栖真寺扩建项目进行表土剥离；百丈</w:t>
            </w:r>
            <w:r>
              <w:rPr>
                <w:kern w:val="0"/>
                <w:sz w:val="18"/>
                <w:szCs w:val="18"/>
              </w:rPr>
              <w:t>漈</w:t>
            </w:r>
            <w:r>
              <w:rPr>
                <w:rFonts w:hAnsi="仿宋_GB2312" w:eastAsia="仿宋_GB2312"/>
                <w:kern w:val="0"/>
                <w:sz w:val="18"/>
                <w:szCs w:val="18"/>
              </w:rPr>
              <w:t>驮坦至篁庄通景公路建设完成路基工程全线贯通</w:t>
            </w:r>
            <w:r>
              <w:rPr>
                <w:rFonts w:eastAsia="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16"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581" w:type="dxa"/>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9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813" w:type="dxa"/>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184.2 </w:t>
            </w:r>
          </w:p>
        </w:tc>
        <w:tc>
          <w:tcPr>
            <w:tcW w:w="2908" w:type="dxa"/>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369" w:type="dxa"/>
            <w:shd w:val="clear" w:color="auto" w:fill="auto"/>
            <w:vAlign w:val="center"/>
          </w:tcPr>
          <w:p>
            <w:pPr>
              <w:widowControl/>
              <w:jc w:val="left"/>
              <w:rPr>
                <w:rFonts w:eastAsia="仿宋_GB2312"/>
                <w:kern w:val="0"/>
                <w:sz w:val="18"/>
                <w:szCs w:val="18"/>
              </w:rPr>
            </w:pPr>
            <w:r>
              <w:rPr>
                <w:rFonts w:eastAsia="仿宋_GB2312"/>
                <w:kern w:val="0"/>
                <w:sz w:val="18"/>
                <w:szCs w:val="18"/>
              </w:rPr>
              <w:t>完成2.6公里场地内道路土方工程，300平米项目景观平整，一期规划道路基层；一期30栋公寓基础桩基、挡墙基础施工中；二期温德姆酒店场地平整完毕，桩基施工预备中。</w:t>
            </w:r>
          </w:p>
        </w:tc>
      </w:tr>
    </w:tbl>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p>
    <w:p>
      <w:pPr>
        <w:spacing w:line="240" w:lineRule="atLeast"/>
        <w:rPr>
          <w:rFonts w:eastAsia="黑体"/>
          <w:sz w:val="32"/>
          <w:szCs w:val="32"/>
        </w:rPr>
      </w:pPr>
      <w:r>
        <w:rPr>
          <w:rFonts w:hint="eastAsia" w:eastAsia="黑体"/>
          <w:sz w:val="32"/>
          <w:szCs w:val="32"/>
        </w:rPr>
        <w:t>附件7</w:t>
      </w:r>
    </w:p>
    <w:p>
      <w:pPr>
        <w:spacing w:line="600" w:lineRule="exact"/>
        <w:jc w:val="center"/>
        <w:rPr>
          <w:rFonts w:eastAsia="方正小标宋简体"/>
          <w:sz w:val="36"/>
          <w:szCs w:val="36"/>
        </w:rPr>
      </w:pPr>
      <w:r>
        <w:rPr>
          <w:rFonts w:hint="eastAsia" w:eastAsia="方正小标宋简体"/>
          <w:sz w:val="36"/>
          <w:szCs w:val="36"/>
        </w:rPr>
        <w:t>2018年市重点建设进展滞后项目情况表（1-10月）</w:t>
      </w:r>
    </w:p>
    <w:p>
      <w:pPr>
        <w:spacing w:line="300" w:lineRule="exact"/>
        <w:ind w:right="210"/>
        <w:jc w:val="right"/>
        <w:rPr>
          <w:rFonts w:eastAsia="楷体_GB2312"/>
          <w:szCs w:val="21"/>
        </w:rPr>
      </w:pPr>
      <w:r>
        <w:rPr>
          <w:rFonts w:hint="eastAsia" w:eastAsia="楷体_GB2312"/>
          <w:szCs w:val="21"/>
        </w:rPr>
        <w:t>单位：万元、%</w:t>
      </w:r>
    </w:p>
    <w:tbl>
      <w:tblPr>
        <w:tblStyle w:val="8"/>
        <w:tblW w:w="10160" w:type="dxa"/>
        <w:tblInd w:w="0" w:type="dxa"/>
        <w:tblLayout w:type="fixed"/>
        <w:tblCellMar>
          <w:top w:w="0" w:type="dxa"/>
          <w:left w:w="108" w:type="dxa"/>
          <w:bottom w:w="0" w:type="dxa"/>
          <w:right w:w="108" w:type="dxa"/>
        </w:tblCellMar>
      </w:tblPr>
      <w:tblGrid>
        <w:gridCol w:w="438"/>
        <w:gridCol w:w="849"/>
        <w:gridCol w:w="4023"/>
        <w:gridCol w:w="982"/>
        <w:gridCol w:w="804"/>
        <w:gridCol w:w="778"/>
        <w:gridCol w:w="682"/>
        <w:gridCol w:w="1604"/>
      </w:tblGrid>
      <w:tr>
        <w:tblPrEx>
          <w:tblCellMar>
            <w:top w:w="0" w:type="dxa"/>
            <w:left w:w="108" w:type="dxa"/>
            <w:bottom w:w="0" w:type="dxa"/>
            <w:right w:w="108" w:type="dxa"/>
          </w:tblCellMar>
        </w:tblPrEx>
        <w:trPr>
          <w:trHeight w:val="283" w:hRule="atLeast"/>
          <w:tblHeader/>
        </w:trPr>
        <w:tc>
          <w:tcPr>
            <w:tcW w:w="43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序号</w:t>
            </w:r>
          </w:p>
        </w:tc>
        <w:tc>
          <w:tcPr>
            <w:tcW w:w="849"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责任</w:t>
            </w:r>
          </w:p>
          <w:p>
            <w:pPr>
              <w:widowControl/>
              <w:jc w:val="center"/>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单位</w:t>
            </w:r>
          </w:p>
        </w:tc>
        <w:tc>
          <w:tcPr>
            <w:tcW w:w="402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项目名称</w:t>
            </w:r>
          </w:p>
        </w:tc>
        <w:tc>
          <w:tcPr>
            <w:tcW w:w="98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总投资</w:t>
            </w:r>
          </w:p>
        </w:tc>
        <w:tc>
          <w:tcPr>
            <w:tcW w:w="804"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计划</w:t>
            </w:r>
          </w:p>
        </w:tc>
        <w:tc>
          <w:tcPr>
            <w:tcW w:w="778" w:type="dxa"/>
            <w:tcBorders>
              <w:top w:val="single" w:color="000000" w:sz="8" w:space="0"/>
              <w:left w:val="nil"/>
              <w:bottom w:val="nil"/>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完成</w:t>
            </w:r>
          </w:p>
        </w:tc>
        <w:tc>
          <w:tcPr>
            <w:tcW w:w="68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完成率</w:t>
            </w:r>
          </w:p>
        </w:tc>
        <w:tc>
          <w:tcPr>
            <w:tcW w:w="160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283" w:hRule="atLeast"/>
          <w:tblHeader/>
        </w:trPr>
        <w:tc>
          <w:tcPr>
            <w:tcW w:w="43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849" w:type="dxa"/>
            <w:vMerge w:val="continue"/>
            <w:tcBorders>
              <w:left w:val="nil"/>
              <w:bottom w:val="single" w:color="auto"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p>
        </w:tc>
        <w:tc>
          <w:tcPr>
            <w:tcW w:w="40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9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804" w:type="dxa"/>
            <w:tcBorders>
              <w:top w:val="nil"/>
              <w:left w:val="nil"/>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投资</w:t>
            </w:r>
          </w:p>
        </w:tc>
        <w:tc>
          <w:tcPr>
            <w:tcW w:w="778" w:type="dxa"/>
            <w:tcBorders>
              <w:top w:val="nil"/>
              <w:left w:val="nil"/>
              <w:bottom w:val="single" w:color="000000" w:sz="8" w:space="0"/>
              <w:right w:val="single" w:color="000000" w:sz="8" w:space="0"/>
            </w:tcBorders>
            <w:shd w:val="clear" w:color="auto" w:fill="auto"/>
            <w:vAlign w:val="center"/>
          </w:tcPr>
          <w:p>
            <w:pPr>
              <w:widowControl/>
              <w:jc w:val="center"/>
              <w:rPr>
                <w:rFonts w:ascii="黑体" w:hAnsi="黑体" w:eastAsia="黑体"/>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投资</w:t>
            </w:r>
          </w:p>
        </w:tc>
        <w:tc>
          <w:tcPr>
            <w:tcW w:w="68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c>
          <w:tcPr>
            <w:tcW w:w="160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3"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w:t>
            </w:r>
          </w:p>
        </w:tc>
        <w:tc>
          <w:tcPr>
            <w:tcW w:w="8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鹿城</w:t>
            </w:r>
            <w:r>
              <w:rPr>
                <w:rFonts w:hint="eastAsia" w:eastAsia="仿宋_GB2312"/>
                <w:color w:val="000000" w:themeColor="text1"/>
                <w:kern w:val="0"/>
                <w:szCs w:val="21"/>
                <w14:textFill>
                  <w14:solidFill>
                    <w14:schemeClr w14:val="tx1"/>
                  </w14:solidFill>
                </w14:textFill>
              </w:rPr>
              <w:t>区</w:t>
            </w:r>
          </w:p>
        </w:tc>
        <w:tc>
          <w:tcPr>
            <w:tcW w:w="40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温州市瓯江引水鹿城西片配水工程（隧洞河道工程）</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24604</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8400</w:t>
            </w:r>
          </w:p>
        </w:tc>
        <w:tc>
          <w:tcPr>
            <w:tcW w:w="7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4425</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52.7 </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戍浦江河道（藤桥至河口段）整治工程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99255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42.9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温瑞大道二期道路提升整治工程（鹿城段）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49200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鹿城区下桥城中村改造工程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58800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w:t>
            </w:r>
          </w:p>
        </w:tc>
        <w:tc>
          <w:tcPr>
            <w:tcW w:w="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安邦金融广场</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650000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5680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56.8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龙湾</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温州生物材料与工程研究所一期建设工程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29479</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2934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29.3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浙南科技城互联网大厦</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99986</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3431</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34.3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瓯海</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瓯海总部经济园二期</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39000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6510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54.3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温州乐园（二期）</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35000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4633</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洞头</w:t>
            </w:r>
            <w:r>
              <w:rPr>
                <w:rFonts w:hint="eastAsia" w:eastAsia="仿宋_GB2312"/>
                <w:color w:val="000000" w:themeColor="text1"/>
                <w:kern w:val="0"/>
                <w:szCs w:val="21"/>
                <w14:textFill>
                  <w14:solidFill>
                    <w14:schemeClr w14:val="tx1"/>
                  </w14:solidFill>
                </w14:textFill>
              </w:rPr>
              <w:t>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小门岛环岛公路工程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32102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3090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38.6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中石化温州液化天然气（LNG）项目（含场平工程）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903600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8593</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57.3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12</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洞头城北污水处理厂</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32795</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w:t>
            </w:r>
          </w:p>
        </w:tc>
        <w:tc>
          <w:tcPr>
            <w:tcW w:w="778"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1.5 </w:t>
            </w:r>
          </w:p>
        </w:tc>
        <w:tc>
          <w:tcPr>
            <w:tcW w:w="1604"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13</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乐清市</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228国道至323省道连接线</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98000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计划9月开工，应开未开</w:t>
            </w:r>
            <w:r>
              <w:rPr>
                <w:rFonts w:eastAsia="仿宋_GB2312"/>
                <w:color w:val="000000" w:themeColor="text1"/>
                <w:kern w:val="0"/>
                <w:sz w:val="18"/>
                <w:szCs w:val="18"/>
                <w14:textFill>
                  <w14:solidFill>
                    <w14:schemeClr w14:val="tx1"/>
                  </w14:solidFill>
                </w14:textFill>
              </w:rPr>
              <w:t>；省重点</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永嘉县瓯北三江段标准堤工程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174300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7934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永嘉县图书馆、档案馆工程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16500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922</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46.1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16</w:t>
            </w:r>
          </w:p>
        </w:tc>
        <w:tc>
          <w:tcPr>
            <w:tcW w:w="849" w:type="dxa"/>
            <w:tcBorders>
              <w:top w:val="nil"/>
              <w:left w:val="nil"/>
              <w:bottom w:val="nil"/>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文成</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文成县黄坦镇低丘缓坡开发基础设施配套项目（一）</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33560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176</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11.7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17</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平阳</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年产250万平方米光学膜生产基地建设项目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46340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1560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52.0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18</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苍南</w:t>
            </w:r>
            <w:r>
              <w:rPr>
                <w:rFonts w:hint="eastAsia" w:eastAsia="仿宋_GB2312"/>
                <w:color w:val="000000" w:themeColor="text1"/>
                <w:kern w:val="0"/>
                <w:szCs w:val="21"/>
                <w14:textFill>
                  <w14:solidFill>
                    <w14:schemeClr w14:val="tx1"/>
                  </w14:solidFill>
                </w14:textFill>
              </w:rPr>
              <w:t>县</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苍南县二医迁建工程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4.0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19</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228国道苍南龙沙至岱岭段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379348</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计划10月开工，应开未开</w:t>
            </w:r>
            <w:r>
              <w:rPr>
                <w:rFonts w:eastAsia="仿宋_GB2312"/>
                <w:color w:val="000000" w:themeColor="text1"/>
                <w:kern w:val="0"/>
                <w:sz w:val="18"/>
                <w:szCs w:val="18"/>
                <w14:textFill>
                  <w14:solidFill>
                    <w14:schemeClr w14:val="tx1"/>
                  </w14:solidFill>
                </w14:textFill>
              </w:rPr>
              <w:t>；市领导挂钩项目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瓯江口</w:t>
            </w:r>
            <w:r>
              <w:rPr>
                <w:rFonts w:hint="eastAsia" w:eastAsia="仿宋_GB2312"/>
                <w:color w:val="000000" w:themeColor="text1"/>
                <w:kern w:val="0"/>
                <w:szCs w:val="21"/>
                <w14:textFill>
                  <w14:solidFill>
                    <w14:schemeClr w14:val="tx1"/>
                  </w14:solidFill>
                </w14:textFill>
              </w:rPr>
              <w:t>集聚区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沈海高速复线瓯江口产业集聚区连接线工程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74300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计划6月开工，应开未开</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228国道洞头灵昆段工程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210600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0</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计划9月开工，应开未开</w:t>
            </w:r>
            <w:r>
              <w:rPr>
                <w:rFonts w:eastAsia="仿宋_GB2312"/>
                <w:color w:val="000000" w:themeColor="text1"/>
                <w:kern w:val="0"/>
                <w:sz w:val="18"/>
                <w:szCs w:val="18"/>
                <w14:textFill>
                  <w14:solidFill>
                    <w14:schemeClr w14:val="tx1"/>
                  </w14:solidFill>
                </w14:textFill>
              </w:rPr>
              <w:t>；市领导挂钩</w:t>
            </w:r>
            <w:r>
              <w:rPr>
                <w:rFonts w:hint="eastAsia" w:eastAsia="仿宋_GB2312"/>
                <w:color w:val="000000" w:themeColor="text1"/>
                <w:kern w:val="0"/>
                <w:sz w:val="18"/>
                <w:szCs w:val="18"/>
                <w14:textFill>
                  <w14:solidFill>
                    <w14:schemeClr w14:val="tx1"/>
                  </w14:solidFill>
                </w14:textFill>
              </w:rPr>
              <w:t>的</w:t>
            </w: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22</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瓯江口新区起步区邻里中心建设工程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39700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5991</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59.9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23</w:t>
            </w:r>
          </w:p>
        </w:tc>
        <w:tc>
          <w:tcPr>
            <w:tcW w:w="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浙南集聚区</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百威英博（温州）啤酒有限公司年产120万吨啤酒项目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1875</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9.4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省重点</w:t>
            </w:r>
            <w:r>
              <w:rPr>
                <w:rFonts w:hint="eastAsia" w:eastAsia="仿宋_GB2312"/>
                <w:color w:val="000000" w:themeColor="text1"/>
                <w:kern w:val="0"/>
                <w:sz w:val="18"/>
                <w:szCs w:val="18"/>
                <w14:textFill>
                  <w14:solidFill>
                    <w14:schemeClr w14:val="tx1"/>
                  </w14:solidFill>
                </w14:textFill>
              </w:rPr>
              <w:t>项目</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24</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置信滨海商业城项目</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46080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15000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8040</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53.6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b/>
                <w:color w:val="000000" w:themeColor="text1"/>
                <w:kern w:val="0"/>
                <w:sz w:val="18"/>
                <w:szCs w:val="18"/>
                <w14:textFill>
                  <w14:solidFill>
                    <w14:schemeClr w14:val="tx1"/>
                  </w14:solidFill>
                </w14:textFill>
              </w:rPr>
            </w:pP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25</w:t>
            </w:r>
          </w:p>
        </w:tc>
        <w:tc>
          <w:tcPr>
            <w:tcW w:w="84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Cs w:val="21"/>
                <w14:textFill>
                  <w14:solidFill>
                    <w14:schemeClr w14:val="tx1"/>
                  </w14:solidFill>
                </w14:textFill>
              </w:rPr>
            </w:pP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华廷大酒店</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42000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5402</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54.0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26</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市</w:t>
            </w:r>
            <w:r>
              <w:rPr>
                <w:rFonts w:eastAsia="仿宋_GB2312"/>
                <w:color w:val="000000" w:themeColor="text1"/>
                <w:kern w:val="0"/>
                <w:szCs w:val="21"/>
                <w14:textFill>
                  <w14:solidFill>
                    <w14:schemeClr w14:val="tx1"/>
                  </w14:solidFill>
                </w14:textFill>
              </w:rPr>
              <w:t>铁投</w:t>
            </w:r>
            <w:r>
              <w:rPr>
                <w:rFonts w:hint="eastAsia" w:eastAsia="仿宋_GB2312"/>
                <w:color w:val="000000" w:themeColor="text1"/>
                <w:kern w:val="0"/>
                <w:szCs w:val="21"/>
                <w14:textFill>
                  <w14:solidFill>
                    <w14:schemeClr w14:val="tx1"/>
                  </w14:solidFill>
                </w14:textFill>
              </w:rPr>
              <w:t>集团</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杭温高铁一期（温州段）</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1170000</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80000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2054</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2.6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市领导挂钩项目</w:t>
            </w:r>
            <w:r>
              <w:rPr>
                <w:rFonts w:hint="eastAsia" w:eastAsia="仿宋_GB2312"/>
                <w:color w:val="000000" w:themeColor="text1"/>
                <w:kern w:val="0"/>
                <w:sz w:val="18"/>
                <w:szCs w:val="18"/>
                <w14:textFill>
                  <w14:solidFill>
                    <w14:schemeClr w14:val="tx1"/>
                  </w14:solidFill>
                </w14:textFill>
              </w:rPr>
              <w:t>，</w:t>
            </w:r>
            <w:r>
              <w:rPr>
                <w:rFonts w:eastAsia="仿宋_GB2312"/>
                <w:b/>
                <w:color w:val="000000" w:themeColor="text1"/>
                <w:kern w:val="0"/>
                <w:sz w:val="18"/>
                <w:szCs w:val="18"/>
                <w14:textFill>
                  <w14:solidFill>
                    <w14:schemeClr w14:val="tx1"/>
                  </w14:solidFill>
                </w14:textFill>
              </w:rPr>
              <w:t>比上月无进展</w:t>
            </w:r>
          </w:p>
        </w:tc>
      </w:tr>
      <w:tr>
        <w:tblPrEx>
          <w:tblCellMar>
            <w:top w:w="0" w:type="dxa"/>
            <w:left w:w="108" w:type="dxa"/>
            <w:bottom w:w="0" w:type="dxa"/>
            <w:right w:w="108" w:type="dxa"/>
          </w:tblCellMar>
        </w:tblPrEx>
        <w:trPr>
          <w:trHeight w:val="283"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27</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市</w:t>
            </w:r>
            <w:r>
              <w:rPr>
                <w:rFonts w:eastAsia="仿宋_GB2312"/>
                <w:color w:val="000000" w:themeColor="text1"/>
                <w:kern w:val="0"/>
                <w:szCs w:val="21"/>
                <w14:textFill>
                  <w14:solidFill>
                    <w14:schemeClr w14:val="tx1"/>
                  </w14:solidFill>
                </w14:textFill>
              </w:rPr>
              <w:t>公安局</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温州市监管中心建设工程</w:t>
            </w:r>
          </w:p>
        </w:tc>
        <w:tc>
          <w:tcPr>
            <w:tcW w:w="9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70172</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14000</w:t>
            </w:r>
          </w:p>
        </w:tc>
        <w:tc>
          <w:tcPr>
            <w:tcW w:w="77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8369</w:t>
            </w:r>
          </w:p>
        </w:tc>
        <w:tc>
          <w:tcPr>
            <w:tcW w:w="68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 xml:space="preserve">59.8 </w:t>
            </w:r>
          </w:p>
        </w:tc>
        <w:tc>
          <w:tcPr>
            <w:tcW w:w="1604"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themeColor="text1"/>
                <w:kern w:val="0"/>
                <w:sz w:val="18"/>
                <w:szCs w:val="18"/>
                <w14:textFill>
                  <w14:solidFill>
                    <w14:schemeClr w14:val="tx1"/>
                  </w14:solidFill>
                </w14:textFill>
              </w:rPr>
            </w:pPr>
            <w:r>
              <w:rPr>
                <w:rFonts w:eastAsia="仿宋_GB2312"/>
                <w:color w:val="000000" w:themeColor="text1"/>
                <w:kern w:val="0"/>
                <w:sz w:val="18"/>
                <w:szCs w:val="18"/>
                <w14:textFill>
                  <w14:solidFill>
                    <w14:schemeClr w14:val="tx1"/>
                  </w14:solidFill>
                </w14:textFill>
              </w:rPr>
              <w:t>　</w:t>
            </w:r>
          </w:p>
        </w:tc>
      </w:tr>
    </w:tbl>
    <w:p>
      <w:pPr>
        <w:spacing w:line="300" w:lineRule="exact"/>
        <w:ind w:right="210"/>
        <w:jc w:val="left"/>
        <w:rPr>
          <w:rFonts w:ascii="黑体" w:hAnsi="黑体" w:eastAsia="黑体" w:cstheme="majorEastAsia"/>
          <w:szCs w:val="21"/>
        </w:rPr>
      </w:pPr>
      <w:r>
        <w:rPr>
          <w:rFonts w:hint="eastAsia" w:ascii="黑体" w:hAnsi="黑体" w:eastAsia="黑体" w:cstheme="majorEastAsia"/>
          <w:szCs w:val="21"/>
        </w:rPr>
        <w:t>注：以上均为1-10月投资完成率为60%（含）以下的项目，不包括8月及以后开工项目。</w:t>
      </w: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MWTXHAIAACcEAAAOAAAAZHJz&#10;L2Uyb0RvYy54bWytU0uOEzEQ3SNxB8t70p2MG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q+osQwjRGdvn45fftx+v6Z&#10;XCV4Whdm8Fo7+MXute0qGv1eDKaA99R4J71ON1oicAHWxwu+oouE43E8nUynJUwctkFBiuLpu/Mh&#10;vhFWkyRU1GOAGVd2uA/x7Dq4pGzGrhql8hCVIW1Fr69elv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zFk1xwCAAAnBAAADgAAAAAAAAABACAAAAA1AQAAZHJzL2Uyb0RvYy54bWxQSwUG&#10;AAAAAAYABgBZAQAAwwUAAAAA&#10;">
              <v:fill on="f" focussize="0,0"/>
              <v:stroke on="f" weight="0.5pt"/>
              <v:imagedata o:title=""/>
              <o:lock v:ext="edit" aspectratio="f"/>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666750" cy="247650"/>
              <wp:effectExtent l="0" t="0" r="0" b="0"/>
              <wp:wrapNone/>
              <wp:docPr id="8" name="文本框 1"/>
              <wp:cNvGraphicFramePr/>
              <a:graphic xmlns:a="http://schemas.openxmlformats.org/drawingml/2006/main">
                <a:graphicData uri="http://schemas.microsoft.com/office/word/2010/wordprocessingShape">
                  <wps:wsp>
                    <wps:cNvSpPr txBox="true"/>
                    <wps:spPr>
                      <a:xfrm>
                        <a:off x="0" y="0"/>
                        <a:ext cx="666750" cy="247650"/>
                      </a:xfrm>
                      <a:prstGeom prst="rect">
                        <a:avLst/>
                      </a:prstGeom>
                      <a:noFill/>
                      <a:ln w="9525">
                        <a:noFill/>
                      </a:ln>
                      <a:effectLst/>
                    </wps:spPr>
                    <wps:txbx>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wps:txbx>
                    <wps:bodyPr wrap="square" lIns="0" tIns="0" rIns="0" bIns="0" upright="true">
                      <a:noAutofit/>
                    </wps:bodyPr>
                  </wps:wsp>
                </a:graphicData>
              </a:graphic>
            </wp:anchor>
          </w:drawing>
        </mc:Choice>
        <mc:Fallback>
          <w:pict>
            <v:shape id="文本框 1" o:spid="_x0000_s1026" o:spt="202" type="#_x0000_t202" style="position:absolute;left:0pt;margin-top:0pt;height:19.5pt;width:52.5pt;mso-position-horizontal:center;mso-position-horizontal-relative:margin;z-index:251666432;mso-width-relative:page;mso-height-relative:page;" filled="f" stroked="f" coordsize="21600,21600" o:gfxdata="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tuttLTAAAABAEAAA8AAAAAAAAAAQAg&#10;AAAAOAAAAGRycy9kb3ducmV2LnhtbFBLAQIUABQAAAAIAIdO4kDS7/7UxAEAAGgDAAAOAAAAAAAA&#10;AAEAIAAAADgBAABkcnMvZTJvRG9jLnhtbFBLBQYAAAAABgAGAFkBAABuBQAAAAA=&#10;">
              <v:fill on="f" focussize="0,0"/>
              <v:stroke on="f"/>
              <v:imagedata o:title=""/>
              <o:lock v:ext="edit" aspectratio="f"/>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90500" cy="131445"/>
              <wp:effectExtent l="0" t="0" r="0" b="0"/>
              <wp:wrapNone/>
              <wp:docPr id="9" name="文本框 3"/>
              <wp:cNvGraphicFramePr/>
              <a:graphic xmlns:a="http://schemas.openxmlformats.org/drawingml/2006/main">
                <a:graphicData uri="http://schemas.microsoft.com/office/word/2010/wordprocessingShape">
                  <wps:wsp>
                    <wps:cNvSpPr txBox="true"/>
                    <wps:spPr>
                      <a:xfrm>
                        <a:off x="0" y="0"/>
                        <a:ext cx="190500" cy="131445"/>
                      </a:xfrm>
                      <a:prstGeom prst="rect">
                        <a:avLst/>
                      </a:prstGeom>
                      <a:noFill/>
                      <a:ln w="9525">
                        <a:noFill/>
                      </a:ln>
                      <a:effectLst/>
                    </wps:spPr>
                    <wps:txbx>
                      <w:txbxContent>
                        <w:p>
                          <w:r>
                            <w:fldChar w:fldCharType="begin"/>
                          </w:r>
                          <w:r>
                            <w:instrText xml:space="preserve"> PAGE  \* MERGEFORMAT </w:instrText>
                          </w:r>
                          <w:r>
                            <w:fldChar w:fldCharType="separate"/>
                          </w:r>
                          <w:r>
                            <w:t>- 12 -</w:t>
                          </w:r>
                          <w:r>
                            <w:fldChar w:fldCharType="end"/>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0.35pt;width:15pt;mso-position-horizontal:center;mso-position-horizontal-relative:margin;mso-wrap-style:none;z-index:251667456;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KKkUuzQAAAAAwEAAA8AAAAAAAAAAQAgAAAA&#10;OAAAAGRycy9kb3ducmV2LnhtbFBLAQIUABQAAAAIAIdO4kD3cCrRxAEAAGYDAAAOAAAAAAAAAAEA&#10;IAAAADUBAABkcnMvZTJvRG9jLnhtbFBLBQYAAAAABgAGAFkBAABr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7"/>
    <w:rsid w:val="0000023C"/>
    <w:rsid w:val="00000374"/>
    <w:rsid w:val="00000DB2"/>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4F4B"/>
    <w:rsid w:val="00025323"/>
    <w:rsid w:val="0002537A"/>
    <w:rsid w:val="0002609F"/>
    <w:rsid w:val="000276D3"/>
    <w:rsid w:val="00030038"/>
    <w:rsid w:val="00030048"/>
    <w:rsid w:val="00030180"/>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22C9"/>
    <w:rsid w:val="00043886"/>
    <w:rsid w:val="0004393C"/>
    <w:rsid w:val="000439B0"/>
    <w:rsid w:val="00043DE9"/>
    <w:rsid w:val="00044F47"/>
    <w:rsid w:val="000451B5"/>
    <w:rsid w:val="00045384"/>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3E69"/>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BAD"/>
    <w:rsid w:val="000B3DFD"/>
    <w:rsid w:val="000B4252"/>
    <w:rsid w:val="000B4F58"/>
    <w:rsid w:val="000B525D"/>
    <w:rsid w:val="000B74C5"/>
    <w:rsid w:val="000B7557"/>
    <w:rsid w:val="000B7631"/>
    <w:rsid w:val="000C0BA7"/>
    <w:rsid w:val="000C1692"/>
    <w:rsid w:val="000C2041"/>
    <w:rsid w:val="000C2C19"/>
    <w:rsid w:val="000C31F6"/>
    <w:rsid w:val="000C35AA"/>
    <w:rsid w:val="000C38C6"/>
    <w:rsid w:val="000C40FC"/>
    <w:rsid w:val="000C4C7E"/>
    <w:rsid w:val="000C4F50"/>
    <w:rsid w:val="000C506E"/>
    <w:rsid w:val="000C509B"/>
    <w:rsid w:val="000C5726"/>
    <w:rsid w:val="000C6169"/>
    <w:rsid w:val="000C6B4A"/>
    <w:rsid w:val="000C6CB9"/>
    <w:rsid w:val="000C71A6"/>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763"/>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70D"/>
    <w:rsid w:val="00124E98"/>
    <w:rsid w:val="00126293"/>
    <w:rsid w:val="00126C9B"/>
    <w:rsid w:val="00126D89"/>
    <w:rsid w:val="00127514"/>
    <w:rsid w:val="00127854"/>
    <w:rsid w:val="0013044D"/>
    <w:rsid w:val="00130B3F"/>
    <w:rsid w:val="00130FB0"/>
    <w:rsid w:val="0013112D"/>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890"/>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3C9"/>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2C3A"/>
    <w:rsid w:val="001B3725"/>
    <w:rsid w:val="001B38ED"/>
    <w:rsid w:val="001B3AFB"/>
    <w:rsid w:val="001B5B41"/>
    <w:rsid w:val="001B6167"/>
    <w:rsid w:val="001B6618"/>
    <w:rsid w:val="001B66E8"/>
    <w:rsid w:val="001B6AB9"/>
    <w:rsid w:val="001B78E3"/>
    <w:rsid w:val="001B7943"/>
    <w:rsid w:val="001B7B59"/>
    <w:rsid w:val="001B7BA1"/>
    <w:rsid w:val="001C058D"/>
    <w:rsid w:val="001C06B0"/>
    <w:rsid w:val="001C09CC"/>
    <w:rsid w:val="001C0C07"/>
    <w:rsid w:val="001C17B3"/>
    <w:rsid w:val="001C17D5"/>
    <w:rsid w:val="001C182F"/>
    <w:rsid w:val="001C1DDF"/>
    <w:rsid w:val="001C1E08"/>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1C99"/>
    <w:rsid w:val="001E236A"/>
    <w:rsid w:val="001E2519"/>
    <w:rsid w:val="001E2807"/>
    <w:rsid w:val="001E2A24"/>
    <w:rsid w:val="001E2CAE"/>
    <w:rsid w:val="001E2D63"/>
    <w:rsid w:val="001E3562"/>
    <w:rsid w:val="001E43BC"/>
    <w:rsid w:val="001E4813"/>
    <w:rsid w:val="001E4F8B"/>
    <w:rsid w:val="001E5CAD"/>
    <w:rsid w:val="001E5F40"/>
    <w:rsid w:val="001E6F3C"/>
    <w:rsid w:val="001E731B"/>
    <w:rsid w:val="001E7913"/>
    <w:rsid w:val="001E79B7"/>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DBF"/>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4E23"/>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742"/>
    <w:rsid w:val="00284D23"/>
    <w:rsid w:val="002857CC"/>
    <w:rsid w:val="002857F1"/>
    <w:rsid w:val="00286075"/>
    <w:rsid w:val="00286231"/>
    <w:rsid w:val="002873FC"/>
    <w:rsid w:val="00290022"/>
    <w:rsid w:val="0029019A"/>
    <w:rsid w:val="00290CE3"/>
    <w:rsid w:val="00291362"/>
    <w:rsid w:val="002914FE"/>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6CE3"/>
    <w:rsid w:val="002A73EF"/>
    <w:rsid w:val="002A7819"/>
    <w:rsid w:val="002B01E6"/>
    <w:rsid w:val="002B025F"/>
    <w:rsid w:val="002B05A7"/>
    <w:rsid w:val="002B14ED"/>
    <w:rsid w:val="002B1D91"/>
    <w:rsid w:val="002B2C69"/>
    <w:rsid w:val="002B311F"/>
    <w:rsid w:val="002B3ED6"/>
    <w:rsid w:val="002B5707"/>
    <w:rsid w:val="002B641A"/>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214"/>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2EB"/>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09F6"/>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191E"/>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0E59"/>
    <w:rsid w:val="003414D0"/>
    <w:rsid w:val="00341D30"/>
    <w:rsid w:val="003423EE"/>
    <w:rsid w:val="00342A50"/>
    <w:rsid w:val="00342D15"/>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3F91"/>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453"/>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923"/>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5768"/>
    <w:rsid w:val="003D5FCE"/>
    <w:rsid w:val="003D672D"/>
    <w:rsid w:val="003D6AFF"/>
    <w:rsid w:val="003D77A3"/>
    <w:rsid w:val="003D7932"/>
    <w:rsid w:val="003D7A61"/>
    <w:rsid w:val="003D7D03"/>
    <w:rsid w:val="003E0E14"/>
    <w:rsid w:val="003E1ADD"/>
    <w:rsid w:val="003E25E4"/>
    <w:rsid w:val="003E27BA"/>
    <w:rsid w:val="003E4107"/>
    <w:rsid w:val="003E5554"/>
    <w:rsid w:val="003E576E"/>
    <w:rsid w:val="003E5C86"/>
    <w:rsid w:val="003E6590"/>
    <w:rsid w:val="003E6ADC"/>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2F6B"/>
    <w:rsid w:val="00463A61"/>
    <w:rsid w:val="00464125"/>
    <w:rsid w:val="004641F8"/>
    <w:rsid w:val="004653DE"/>
    <w:rsid w:val="00465EBB"/>
    <w:rsid w:val="00465ECF"/>
    <w:rsid w:val="00465FDA"/>
    <w:rsid w:val="00466415"/>
    <w:rsid w:val="00466B9B"/>
    <w:rsid w:val="00466BCA"/>
    <w:rsid w:val="004672B2"/>
    <w:rsid w:val="00467E41"/>
    <w:rsid w:val="004700C7"/>
    <w:rsid w:val="00470BF4"/>
    <w:rsid w:val="004713CD"/>
    <w:rsid w:val="00472343"/>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4C9D"/>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B7F76"/>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B47"/>
    <w:rsid w:val="004D5E3A"/>
    <w:rsid w:val="004D6031"/>
    <w:rsid w:val="004D60EE"/>
    <w:rsid w:val="004D6767"/>
    <w:rsid w:val="004D6B1E"/>
    <w:rsid w:val="004D755C"/>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87A"/>
    <w:rsid w:val="004E3997"/>
    <w:rsid w:val="004E4556"/>
    <w:rsid w:val="004E4ADE"/>
    <w:rsid w:val="004E63EB"/>
    <w:rsid w:val="004E6413"/>
    <w:rsid w:val="004E6AE4"/>
    <w:rsid w:val="004E7EA2"/>
    <w:rsid w:val="004F04A5"/>
    <w:rsid w:val="004F04E5"/>
    <w:rsid w:val="004F0CCA"/>
    <w:rsid w:val="004F0E9A"/>
    <w:rsid w:val="004F1B3E"/>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37B6B"/>
    <w:rsid w:val="00540580"/>
    <w:rsid w:val="005407C0"/>
    <w:rsid w:val="00540971"/>
    <w:rsid w:val="00541846"/>
    <w:rsid w:val="00541851"/>
    <w:rsid w:val="0054189A"/>
    <w:rsid w:val="00541CA3"/>
    <w:rsid w:val="0054354B"/>
    <w:rsid w:val="00543B2A"/>
    <w:rsid w:val="00543E53"/>
    <w:rsid w:val="00543F0E"/>
    <w:rsid w:val="00544D31"/>
    <w:rsid w:val="00545D32"/>
    <w:rsid w:val="00546767"/>
    <w:rsid w:val="00546C08"/>
    <w:rsid w:val="00550B24"/>
    <w:rsid w:val="00550FBF"/>
    <w:rsid w:val="00551089"/>
    <w:rsid w:val="005512E8"/>
    <w:rsid w:val="00551D57"/>
    <w:rsid w:val="005520B4"/>
    <w:rsid w:val="00552436"/>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0AD"/>
    <w:rsid w:val="005824B9"/>
    <w:rsid w:val="00584767"/>
    <w:rsid w:val="005857BC"/>
    <w:rsid w:val="00585907"/>
    <w:rsid w:val="00585C88"/>
    <w:rsid w:val="00586906"/>
    <w:rsid w:val="0058692F"/>
    <w:rsid w:val="00586B99"/>
    <w:rsid w:val="005870C4"/>
    <w:rsid w:val="005873D5"/>
    <w:rsid w:val="0059056D"/>
    <w:rsid w:val="0059075B"/>
    <w:rsid w:val="00590EB8"/>
    <w:rsid w:val="00591148"/>
    <w:rsid w:val="00591998"/>
    <w:rsid w:val="00591C97"/>
    <w:rsid w:val="00592309"/>
    <w:rsid w:val="00592B32"/>
    <w:rsid w:val="00593523"/>
    <w:rsid w:val="00593699"/>
    <w:rsid w:val="0059472B"/>
    <w:rsid w:val="005953B5"/>
    <w:rsid w:val="005954B1"/>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010"/>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1A32"/>
    <w:rsid w:val="005E2371"/>
    <w:rsid w:val="005E283A"/>
    <w:rsid w:val="005E399C"/>
    <w:rsid w:val="005E3BB2"/>
    <w:rsid w:val="005E3C9B"/>
    <w:rsid w:val="005E4BA1"/>
    <w:rsid w:val="005E55CF"/>
    <w:rsid w:val="005E5918"/>
    <w:rsid w:val="005E68A5"/>
    <w:rsid w:val="005E738F"/>
    <w:rsid w:val="005E7608"/>
    <w:rsid w:val="005E76A8"/>
    <w:rsid w:val="005E7EFA"/>
    <w:rsid w:val="005F0F5C"/>
    <w:rsid w:val="005F16D8"/>
    <w:rsid w:val="005F18EE"/>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A33"/>
    <w:rsid w:val="00621FF8"/>
    <w:rsid w:val="00622208"/>
    <w:rsid w:val="006223EC"/>
    <w:rsid w:val="00622800"/>
    <w:rsid w:val="00624088"/>
    <w:rsid w:val="00624B33"/>
    <w:rsid w:val="00624F2F"/>
    <w:rsid w:val="00625D14"/>
    <w:rsid w:val="006301D1"/>
    <w:rsid w:val="00630B00"/>
    <w:rsid w:val="006319FF"/>
    <w:rsid w:val="00631CD2"/>
    <w:rsid w:val="00632070"/>
    <w:rsid w:val="006320A8"/>
    <w:rsid w:val="00632735"/>
    <w:rsid w:val="00632A11"/>
    <w:rsid w:val="00633202"/>
    <w:rsid w:val="00633456"/>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6F17"/>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0F81"/>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CB2"/>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10"/>
    <w:rsid w:val="006E40CA"/>
    <w:rsid w:val="006E46DB"/>
    <w:rsid w:val="006E4905"/>
    <w:rsid w:val="006E4E55"/>
    <w:rsid w:val="006E52FE"/>
    <w:rsid w:val="006E5617"/>
    <w:rsid w:val="006E6489"/>
    <w:rsid w:val="006E6606"/>
    <w:rsid w:val="006E703E"/>
    <w:rsid w:val="006E7243"/>
    <w:rsid w:val="006E7E5C"/>
    <w:rsid w:val="006F00DC"/>
    <w:rsid w:val="006F06B1"/>
    <w:rsid w:val="006F0731"/>
    <w:rsid w:val="006F2575"/>
    <w:rsid w:val="006F2D62"/>
    <w:rsid w:val="006F303F"/>
    <w:rsid w:val="006F393A"/>
    <w:rsid w:val="006F49F1"/>
    <w:rsid w:val="006F4D7F"/>
    <w:rsid w:val="006F4E1E"/>
    <w:rsid w:val="006F4ECE"/>
    <w:rsid w:val="006F5434"/>
    <w:rsid w:val="006F5484"/>
    <w:rsid w:val="006F5CE2"/>
    <w:rsid w:val="006F6033"/>
    <w:rsid w:val="006F7173"/>
    <w:rsid w:val="00700648"/>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26AA"/>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025"/>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672"/>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4C76"/>
    <w:rsid w:val="007850E1"/>
    <w:rsid w:val="00785C0D"/>
    <w:rsid w:val="00785D37"/>
    <w:rsid w:val="00785DBA"/>
    <w:rsid w:val="00786132"/>
    <w:rsid w:val="007861A0"/>
    <w:rsid w:val="0078649C"/>
    <w:rsid w:val="007864B5"/>
    <w:rsid w:val="00787019"/>
    <w:rsid w:val="00787023"/>
    <w:rsid w:val="00787181"/>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414"/>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4B7"/>
    <w:rsid w:val="007C1C07"/>
    <w:rsid w:val="007C1D5F"/>
    <w:rsid w:val="007C23A9"/>
    <w:rsid w:val="007C25E4"/>
    <w:rsid w:val="007C26FB"/>
    <w:rsid w:val="007C28AC"/>
    <w:rsid w:val="007C29C8"/>
    <w:rsid w:val="007C41F0"/>
    <w:rsid w:val="007C48CE"/>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0BC"/>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38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2B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3F"/>
    <w:rsid w:val="00832B90"/>
    <w:rsid w:val="008331BD"/>
    <w:rsid w:val="0083448E"/>
    <w:rsid w:val="00834F38"/>
    <w:rsid w:val="00835526"/>
    <w:rsid w:val="00835A5B"/>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0AC"/>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1B1"/>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13A"/>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3B7E"/>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75A"/>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41E"/>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0D7C"/>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4E72"/>
    <w:rsid w:val="009551C1"/>
    <w:rsid w:val="0095527C"/>
    <w:rsid w:val="00956602"/>
    <w:rsid w:val="0095675A"/>
    <w:rsid w:val="00957195"/>
    <w:rsid w:val="009578BA"/>
    <w:rsid w:val="00957A2C"/>
    <w:rsid w:val="009604A5"/>
    <w:rsid w:val="00960F80"/>
    <w:rsid w:val="009612C3"/>
    <w:rsid w:val="00961D3F"/>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072"/>
    <w:rsid w:val="009841BF"/>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0"/>
    <w:rsid w:val="009E0DA6"/>
    <w:rsid w:val="009E12C9"/>
    <w:rsid w:val="009E1FC4"/>
    <w:rsid w:val="009E298A"/>
    <w:rsid w:val="009E2BE4"/>
    <w:rsid w:val="009E2E69"/>
    <w:rsid w:val="009E3027"/>
    <w:rsid w:val="009E483F"/>
    <w:rsid w:val="009E4BB0"/>
    <w:rsid w:val="009E59AD"/>
    <w:rsid w:val="009E5A84"/>
    <w:rsid w:val="009F0256"/>
    <w:rsid w:val="009F0818"/>
    <w:rsid w:val="009F0DA2"/>
    <w:rsid w:val="009F0E5C"/>
    <w:rsid w:val="009F0F07"/>
    <w:rsid w:val="009F1785"/>
    <w:rsid w:val="009F1899"/>
    <w:rsid w:val="009F1CC9"/>
    <w:rsid w:val="009F2F03"/>
    <w:rsid w:val="009F3392"/>
    <w:rsid w:val="009F3AEB"/>
    <w:rsid w:val="009F42AC"/>
    <w:rsid w:val="009F520B"/>
    <w:rsid w:val="009F5F11"/>
    <w:rsid w:val="009F651E"/>
    <w:rsid w:val="009F692D"/>
    <w:rsid w:val="009F7C49"/>
    <w:rsid w:val="009F7DB8"/>
    <w:rsid w:val="009F7F65"/>
    <w:rsid w:val="00A00F52"/>
    <w:rsid w:val="00A013DF"/>
    <w:rsid w:val="00A01685"/>
    <w:rsid w:val="00A01714"/>
    <w:rsid w:val="00A0191C"/>
    <w:rsid w:val="00A01AAC"/>
    <w:rsid w:val="00A03DE2"/>
    <w:rsid w:val="00A04108"/>
    <w:rsid w:val="00A046C4"/>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765"/>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5E08"/>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480"/>
    <w:rsid w:val="00A515FC"/>
    <w:rsid w:val="00A527C3"/>
    <w:rsid w:val="00A5351C"/>
    <w:rsid w:val="00A53711"/>
    <w:rsid w:val="00A542ED"/>
    <w:rsid w:val="00A54579"/>
    <w:rsid w:val="00A54C74"/>
    <w:rsid w:val="00A55389"/>
    <w:rsid w:val="00A55AF2"/>
    <w:rsid w:val="00A55F6F"/>
    <w:rsid w:val="00A560DC"/>
    <w:rsid w:val="00A56383"/>
    <w:rsid w:val="00A56C00"/>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A6E"/>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3F"/>
    <w:rsid w:val="00A93E68"/>
    <w:rsid w:val="00A94305"/>
    <w:rsid w:val="00A943EE"/>
    <w:rsid w:val="00A9591B"/>
    <w:rsid w:val="00A95943"/>
    <w:rsid w:val="00A95A70"/>
    <w:rsid w:val="00A95B68"/>
    <w:rsid w:val="00A95E8B"/>
    <w:rsid w:val="00A9656D"/>
    <w:rsid w:val="00AA001F"/>
    <w:rsid w:val="00AA0146"/>
    <w:rsid w:val="00AA0953"/>
    <w:rsid w:val="00AA1426"/>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2C51"/>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2EFF"/>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4C6"/>
    <w:rsid w:val="00AE05BE"/>
    <w:rsid w:val="00AE1169"/>
    <w:rsid w:val="00AE1A2B"/>
    <w:rsid w:val="00AE22D9"/>
    <w:rsid w:val="00AE27D1"/>
    <w:rsid w:val="00AE2960"/>
    <w:rsid w:val="00AE2BF7"/>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20F"/>
    <w:rsid w:val="00AF5878"/>
    <w:rsid w:val="00AF5ABC"/>
    <w:rsid w:val="00AF6D45"/>
    <w:rsid w:val="00AF733D"/>
    <w:rsid w:val="00AF7F70"/>
    <w:rsid w:val="00B00105"/>
    <w:rsid w:val="00B0066D"/>
    <w:rsid w:val="00B01074"/>
    <w:rsid w:val="00B028ED"/>
    <w:rsid w:val="00B02F21"/>
    <w:rsid w:val="00B0390B"/>
    <w:rsid w:val="00B04931"/>
    <w:rsid w:val="00B0527A"/>
    <w:rsid w:val="00B05523"/>
    <w:rsid w:val="00B05C07"/>
    <w:rsid w:val="00B06269"/>
    <w:rsid w:val="00B06B62"/>
    <w:rsid w:val="00B0742E"/>
    <w:rsid w:val="00B075AD"/>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65BE"/>
    <w:rsid w:val="00B26BD3"/>
    <w:rsid w:val="00B27417"/>
    <w:rsid w:val="00B27DAB"/>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0BE"/>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5E2A"/>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6E9C"/>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59D0"/>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2A9"/>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C58"/>
    <w:rsid w:val="00C01DEA"/>
    <w:rsid w:val="00C02F07"/>
    <w:rsid w:val="00C0323C"/>
    <w:rsid w:val="00C033EE"/>
    <w:rsid w:val="00C0471D"/>
    <w:rsid w:val="00C048E3"/>
    <w:rsid w:val="00C05700"/>
    <w:rsid w:val="00C05AE8"/>
    <w:rsid w:val="00C05CF4"/>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E"/>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5875"/>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01"/>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A1D"/>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5D27"/>
    <w:rsid w:val="00CA71D5"/>
    <w:rsid w:val="00CA72A9"/>
    <w:rsid w:val="00CA7C3A"/>
    <w:rsid w:val="00CB0874"/>
    <w:rsid w:val="00CB08E3"/>
    <w:rsid w:val="00CB15A5"/>
    <w:rsid w:val="00CB1EF1"/>
    <w:rsid w:val="00CB1FF7"/>
    <w:rsid w:val="00CB2852"/>
    <w:rsid w:val="00CB29D2"/>
    <w:rsid w:val="00CB2C43"/>
    <w:rsid w:val="00CB2D9C"/>
    <w:rsid w:val="00CB3293"/>
    <w:rsid w:val="00CB3433"/>
    <w:rsid w:val="00CB371C"/>
    <w:rsid w:val="00CB3BB9"/>
    <w:rsid w:val="00CB3BCE"/>
    <w:rsid w:val="00CB4412"/>
    <w:rsid w:val="00CB47C9"/>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0F"/>
    <w:rsid w:val="00CD4021"/>
    <w:rsid w:val="00CD407B"/>
    <w:rsid w:val="00CD42FD"/>
    <w:rsid w:val="00CD44AD"/>
    <w:rsid w:val="00CD4B3C"/>
    <w:rsid w:val="00CD6AB1"/>
    <w:rsid w:val="00CD6C8A"/>
    <w:rsid w:val="00CD781F"/>
    <w:rsid w:val="00CD7CD2"/>
    <w:rsid w:val="00CE0D0C"/>
    <w:rsid w:val="00CE1477"/>
    <w:rsid w:val="00CE17A0"/>
    <w:rsid w:val="00CE180B"/>
    <w:rsid w:val="00CE1F1E"/>
    <w:rsid w:val="00CE286A"/>
    <w:rsid w:val="00CE28CC"/>
    <w:rsid w:val="00CE2967"/>
    <w:rsid w:val="00CE2B00"/>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203E"/>
    <w:rsid w:val="00CF23C5"/>
    <w:rsid w:val="00CF303A"/>
    <w:rsid w:val="00CF312C"/>
    <w:rsid w:val="00CF3609"/>
    <w:rsid w:val="00CF480B"/>
    <w:rsid w:val="00CF4BCB"/>
    <w:rsid w:val="00CF4CA6"/>
    <w:rsid w:val="00CF52E3"/>
    <w:rsid w:val="00CF5758"/>
    <w:rsid w:val="00CF5DD5"/>
    <w:rsid w:val="00CF5E70"/>
    <w:rsid w:val="00CF601A"/>
    <w:rsid w:val="00CF6A75"/>
    <w:rsid w:val="00CF728E"/>
    <w:rsid w:val="00CF72FB"/>
    <w:rsid w:val="00CF7514"/>
    <w:rsid w:val="00CF7659"/>
    <w:rsid w:val="00D02950"/>
    <w:rsid w:val="00D02B74"/>
    <w:rsid w:val="00D02D48"/>
    <w:rsid w:val="00D03C3C"/>
    <w:rsid w:val="00D051D9"/>
    <w:rsid w:val="00D05429"/>
    <w:rsid w:val="00D0708E"/>
    <w:rsid w:val="00D07B93"/>
    <w:rsid w:val="00D07D1A"/>
    <w:rsid w:val="00D07EF8"/>
    <w:rsid w:val="00D07F16"/>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0B0E"/>
    <w:rsid w:val="00D51025"/>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18F"/>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0F9"/>
    <w:rsid w:val="00D93340"/>
    <w:rsid w:val="00D9338D"/>
    <w:rsid w:val="00D94832"/>
    <w:rsid w:val="00D949E8"/>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4388"/>
    <w:rsid w:val="00DB5668"/>
    <w:rsid w:val="00DB5DB3"/>
    <w:rsid w:val="00DB6024"/>
    <w:rsid w:val="00DB644D"/>
    <w:rsid w:val="00DB69B9"/>
    <w:rsid w:val="00DB6B0D"/>
    <w:rsid w:val="00DC154A"/>
    <w:rsid w:val="00DC1A32"/>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B60"/>
    <w:rsid w:val="00DD3F0A"/>
    <w:rsid w:val="00DD5158"/>
    <w:rsid w:val="00DD5891"/>
    <w:rsid w:val="00DD626F"/>
    <w:rsid w:val="00DD7D30"/>
    <w:rsid w:val="00DE0391"/>
    <w:rsid w:val="00DE0785"/>
    <w:rsid w:val="00DE1209"/>
    <w:rsid w:val="00DE20C4"/>
    <w:rsid w:val="00DE23CF"/>
    <w:rsid w:val="00DE3389"/>
    <w:rsid w:val="00DE34D5"/>
    <w:rsid w:val="00DE35F8"/>
    <w:rsid w:val="00DE3F94"/>
    <w:rsid w:val="00DE4087"/>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0F20"/>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021E"/>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CE8"/>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67C97"/>
    <w:rsid w:val="00E70EB7"/>
    <w:rsid w:val="00E70F8B"/>
    <w:rsid w:val="00E71510"/>
    <w:rsid w:val="00E71CE5"/>
    <w:rsid w:val="00E71FD1"/>
    <w:rsid w:val="00E72547"/>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4A20"/>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60F7"/>
    <w:rsid w:val="00EA7297"/>
    <w:rsid w:val="00EB1883"/>
    <w:rsid w:val="00EB1A6A"/>
    <w:rsid w:val="00EB2405"/>
    <w:rsid w:val="00EB2DC4"/>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397F"/>
    <w:rsid w:val="00EC40C4"/>
    <w:rsid w:val="00EC48E4"/>
    <w:rsid w:val="00EC512A"/>
    <w:rsid w:val="00EC518F"/>
    <w:rsid w:val="00EC52DE"/>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596"/>
    <w:rsid w:val="00ED7625"/>
    <w:rsid w:val="00EE0845"/>
    <w:rsid w:val="00EE0AE6"/>
    <w:rsid w:val="00EE0D10"/>
    <w:rsid w:val="00EE136F"/>
    <w:rsid w:val="00EE14CC"/>
    <w:rsid w:val="00EE17B4"/>
    <w:rsid w:val="00EE2B70"/>
    <w:rsid w:val="00EE352B"/>
    <w:rsid w:val="00EE44FE"/>
    <w:rsid w:val="00EE4890"/>
    <w:rsid w:val="00EE4E25"/>
    <w:rsid w:val="00EE5AB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563"/>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3528"/>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39A"/>
    <w:rsid w:val="00F825DA"/>
    <w:rsid w:val="00F835E3"/>
    <w:rsid w:val="00F83AB9"/>
    <w:rsid w:val="00F83C18"/>
    <w:rsid w:val="00F84462"/>
    <w:rsid w:val="00F84BD7"/>
    <w:rsid w:val="00F84D2C"/>
    <w:rsid w:val="00F8595B"/>
    <w:rsid w:val="00F85C1F"/>
    <w:rsid w:val="00F8607C"/>
    <w:rsid w:val="00F86FAE"/>
    <w:rsid w:val="00F8753C"/>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C2C"/>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040F"/>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6B71AB7"/>
    <w:rsid w:val="07CA6958"/>
    <w:rsid w:val="082A3D01"/>
    <w:rsid w:val="08E77D55"/>
    <w:rsid w:val="08E92277"/>
    <w:rsid w:val="0A5C4748"/>
    <w:rsid w:val="0A607237"/>
    <w:rsid w:val="0D9F6D9A"/>
    <w:rsid w:val="104B08CD"/>
    <w:rsid w:val="10AB4E8E"/>
    <w:rsid w:val="11A87272"/>
    <w:rsid w:val="11CE3BA6"/>
    <w:rsid w:val="11DC03DD"/>
    <w:rsid w:val="13A9324B"/>
    <w:rsid w:val="14786675"/>
    <w:rsid w:val="1679399C"/>
    <w:rsid w:val="17776C13"/>
    <w:rsid w:val="1789000E"/>
    <w:rsid w:val="18147E65"/>
    <w:rsid w:val="188B6CD1"/>
    <w:rsid w:val="18BB1D6B"/>
    <w:rsid w:val="19B73753"/>
    <w:rsid w:val="1B0F09C5"/>
    <w:rsid w:val="1D093BCE"/>
    <w:rsid w:val="1D241147"/>
    <w:rsid w:val="1E840A89"/>
    <w:rsid w:val="1EDB4CAB"/>
    <w:rsid w:val="1F027E12"/>
    <w:rsid w:val="204F590B"/>
    <w:rsid w:val="24FD1758"/>
    <w:rsid w:val="270634FD"/>
    <w:rsid w:val="2955105F"/>
    <w:rsid w:val="2DE8189A"/>
    <w:rsid w:val="311B39AE"/>
    <w:rsid w:val="31C16047"/>
    <w:rsid w:val="337D1E31"/>
    <w:rsid w:val="34685DC6"/>
    <w:rsid w:val="35267245"/>
    <w:rsid w:val="3A266529"/>
    <w:rsid w:val="3AC40783"/>
    <w:rsid w:val="3B1706C7"/>
    <w:rsid w:val="3D701B81"/>
    <w:rsid w:val="3E381C66"/>
    <w:rsid w:val="3E3959C6"/>
    <w:rsid w:val="3E727F6C"/>
    <w:rsid w:val="3E7F5899"/>
    <w:rsid w:val="404708C6"/>
    <w:rsid w:val="469C31A7"/>
    <w:rsid w:val="4AB74634"/>
    <w:rsid w:val="4BE231D0"/>
    <w:rsid w:val="4D214AA2"/>
    <w:rsid w:val="4D246E34"/>
    <w:rsid w:val="4E9F19E2"/>
    <w:rsid w:val="4F1358D4"/>
    <w:rsid w:val="51723BA9"/>
    <w:rsid w:val="543237BB"/>
    <w:rsid w:val="58971672"/>
    <w:rsid w:val="5B6F016A"/>
    <w:rsid w:val="5C6A0CA8"/>
    <w:rsid w:val="5F5C7EBA"/>
    <w:rsid w:val="5FDF7D74"/>
    <w:rsid w:val="617A6154"/>
    <w:rsid w:val="61E75E07"/>
    <w:rsid w:val="63341DFE"/>
    <w:rsid w:val="63E42073"/>
    <w:rsid w:val="64091AC2"/>
    <w:rsid w:val="642F33C0"/>
    <w:rsid w:val="65A5734B"/>
    <w:rsid w:val="675F3EA6"/>
    <w:rsid w:val="67C1725E"/>
    <w:rsid w:val="68483BD3"/>
    <w:rsid w:val="68691A98"/>
    <w:rsid w:val="69516AFC"/>
    <w:rsid w:val="6B7B4A3F"/>
    <w:rsid w:val="6BA574E8"/>
    <w:rsid w:val="6BB23491"/>
    <w:rsid w:val="6BBC599F"/>
    <w:rsid w:val="6C6C446C"/>
    <w:rsid w:val="6CDF2F38"/>
    <w:rsid w:val="6E0016D6"/>
    <w:rsid w:val="6EE721BE"/>
    <w:rsid w:val="71442C76"/>
    <w:rsid w:val="71A249F0"/>
    <w:rsid w:val="779F0019"/>
    <w:rsid w:val="77E4014B"/>
    <w:rsid w:val="77EF6502"/>
    <w:rsid w:val="794F0808"/>
    <w:rsid w:val="79675452"/>
    <w:rsid w:val="79B62CE9"/>
    <w:rsid w:val="7A9E4A77"/>
    <w:rsid w:val="7C0C29F1"/>
    <w:rsid w:val="FDF6D580"/>
    <w:rsid w:val="FEBAE4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15</Pages>
  <Words>2574</Words>
  <Characters>14674</Characters>
  <Lines>122</Lines>
  <Paragraphs>34</Paragraphs>
  <TotalTime>85</TotalTime>
  <ScaleCrop>false</ScaleCrop>
  <LinksUpToDate>false</LinksUpToDate>
  <CharactersWithSpaces>17214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2018-10-19T23:37:00Z</dcterms:created>
  <dc:creator>微软中国</dc:creator>
  <cp:lastModifiedBy>greatwall</cp:lastModifiedBy>
  <cp:lastPrinted>2018-11-14T00:56:00Z</cp:lastPrinted>
  <dcterms:modified xsi:type="dcterms:W3CDTF">2022-05-16T14:19:31Z</dcterms:modified>
  <dc:title>温州市2012年1—3月</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