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646"/>
        <w:rPr>
          <w:rFonts w:eastAsia="方正小标宋简体"/>
          <w:sz w:val="44"/>
          <w:szCs w:val="44"/>
        </w:rPr>
      </w:pPr>
    </w:p>
    <w:p>
      <w:pPr>
        <w:tabs>
          <w:tab w:val="left" w:pos="8445"/>
        </w:tabs>
        <w:spacing w:line="560" w:lineRule="exact"/>
        <w:jc w:val="center"/>
        <w:rPr>
          <w:rFonts w:eastAsia="方正小标宋简体"/>
          <w:spacing w:val="-8"/>
          <w:sz w:val="44"/>
          <w:szCs w:val="44"/>
        </w:rPr>
      </w:pPr>
      <w:r>
        <w:rPr>
          <w:rFonts w:eastAsia="方正小标宋简体"/>
          <w:spacing w:val="-8"/>
          <w:sz w:val="44"/>
          <w:szCs w:val="44"/>
        </w:rPr>
        <w:t>2018年全市重点建设项目计划执行情况通报（</w:t>
      </w:r>
      <w:r>
        <w:rPr>
          <w:rFonts w:hint="eastAsia" w:eastAsia="方正小标宋简体"/>
          <w:spacing w:val="-8"/>
          <w:sz w:val="44"/>
          <w:szCs w:val="44"/>
        </w:rPr>
        <w:t>五</w:t>
      </w:r>
      <w:r>
        <w:rPr>
          <w:rFonts w:eastAsia="方正小标宋简体"/>
          <w:spacing w:val="-8"/>
          <w:sz w:val="44"/>
          <w:szCs w:val="44"/>
        </w:rPr>
        <w:t>）</w:t>
      </w:r>
    </w:p>
    <w:p>
      <w:pPr>
        <w:tabs>
          <w:tab w:val="left" w:pos="8445"/>
        </w:tabs>
        <w:spacing w:line="560" w:lineRule="exact"/>
        <w:jc w:val="center"/>
        <w:rPr>
          <w:rFonts w:eastAsia="方正小标宋简体"/>
          <w:sz w:val="32"/>
          <w:szCs w:val="32"/>
        </w:rPr>
      </w:pPr>
      <w:r>
        <w:rPr>
          <w:rFonts w:eastAsia="楷体_GB2312"/>
          <w:sz w:val="32"/>
          <w:szCs w:val="32"/>
        </w:rPr>
        <w:t>（1-</w:t>
      </w:r>
      <w:r>
        <w:rPr>
          <w:rFonts w:hint="eastAsia" w:eastAsia="楷体_GB2312"/>
          <w:sz w:val="32"/>
          <w:szCs w:val="32"/>
        </w:rPr>
        <w:t>9</w:t>
      </w:r>
      <w:r>
        <w:rPr>
          <w:rFonts w:eastAsia="楷体_GB2312"/>
          <w:sz w:val="32"/>
          <w:szCs w:val="32"/>
        </w:rPr>
        <w:t>月份）</w:t>
      </w:r>
    </w:p>
    <w:p>
      <w:pPr>
        <w:tabs>
          <w:tab w:val="left" w:pos="8445"/>
        </w:tabs>
        <w:spacing w:line="560" w:lineRule="exact"/>
        <w:jc w:val="center"/>
        <w:rPr>
          <w:rFonts w:eastAsia="方正小标宋简体"/>
          <w:sz w:val="44"/>
          <w:szCs w:val="44"/>
        </w:rPr>
      </w:pPr>
    </w:p>
    <w:p>
      <w:pPr>
        <w:spacing w:line="560" w:lineRule="exact"/>
        <w:ind w:firstLine="627" w:firstLineChars="196"/>
        <w:rPr>
          <w:rFonts w:eastAsia="黑体"/>
          <w:sz w:val="32"/>
          <w:szCs w:val="32"/>
        </w:rPr>
      </w:pPr>
      <w:r>
        <w:rPr>
          <w:rFonts w:eastAsia="黑体"/>
          <w:sz w:val="32"/>
          <w:szCs w:val="32"/>
        </w:rPr>
        <w:t>一、</w:t>
      </w:r>
      <w:r>
        <w:rPr>
          <w:rFonts w:hint="eastAsia" w:eastAsia="黑体"/>
          <w:sz w:val="32"/>
          <w:szCs w:val="32"/>
        </w:rPr>
        <w:t>总体情况</w:t>
      </w:r>
    </w:p>
    <w:p>
      <w:pPr>
        <w:tabs>
          <w:tab w:val="left" w:pos="8445"/>
        </w:tabs>
        <w:spacing w:line="560" w:lineRule="exact"/>
        <w:ind w:firstLine="640"/>
        <w:rPr>
          <w:rFonts w:eastAsia="仿宋_GB2312" w:cs="仿宋_GB2312"/>
          <w:sz w:val="32"/>
          <w:szCs w:val="32"/>
        </w:rPr>
      </w:pPr>
      <w:r>
        <w:rPr>
          <w:rFonts w:eastAsia="仿宋_GB2312"/>
          <w:spacing w:val="-4"/>
          <w:sz w:val="32"/>
          <w:szCs w:val="32"/>
        </w:rPr>
        <w:t>201</w:t>
      </w:r>
      <w:r>
        <w:rPr>
          <w:rFonts w:hint="eastAsia" w:eastAsia="仿宋_GB2312"/>
          <w:spacing w:val="-4"/>
          <w:sz w:val="32"/>
          <w:szCs w:val="32"/>
        </w:rPr>
        <w:t>8</w:t>
      </w:r>
      <w:r>
        <w:rPr>
          <w:rFonts w:eastAsia="仿宋_GB2312"/>
          <w:spacing w:val="-4"/>
          <w:sz w:val="32"/>
          <w:szCs w:val="32"/>
        </w:rPr>
        <w:t>年，</w:t>
      </w:r>
      <w:r>
        <w:rPr>
          <w:rFonts w:hint="eastAsia" w:eastAsia="仿宋_GB2312"/>
          <w:spacing w:val="-4"/>
          <w:sz w:val="32"/>
          <w:szCs w:val="32"/>
        </w:rPr>
        <w:t>全市共安排</w:t>
      </w:r>
      <w:r>
        <w:rPr>
          <w:rFonts w:eastAsia="仿宋_GB2312"/>
          <w:spacing w:val="-4"/>
          <w:sz w:val="32"/>
          <w:szCs w:val="32"/>
        </w:rPr>
        <w:t>重点建设项目</w:t>
      </w:r>
      <w:r>
        <w:rPr>
          <w:rFonts w:hint="eastAsia" w:eastAsia="仿宋_GB2312"/>
          <w:spacing w:val="-4"/>
          <w:sz w:val="32"/>
          <w:szCs w:val="32"/>
        </w:rPr>
        <w:t>356个，</w:t>
      </w:r>
      <w:r>
        <w:rPr>
          <w:rFonts w:eastAsia="仿宋_GB2312"/>
          <w:spacing w:val="-4"/>
          <w:sz w:val="32"/>
          <w:szCs w:val="32"/>
        </w:rPr>
        <w:t>年度计划投资</w:t>
      </w:r>
      <w:r>
        <w:rPr>
          <w:rFonts w:hint="eastAsia" w:eastAsia="仿宋_GB2312"/>
          <w:spacing w:val="-4"/>
          <w:sz w:val="32"/>
          <w:szCs w:val="32"/>
        </w:rPr>
        <w:t>831.17</w:t>
      </w:r>
      <w:r>
        <w:rPr>
          <w:rFonts w:eastAsia="仿宋_GB2312"/>
          <w:spacing w:val="-4"/>
          <w:sz w:val="32"/>
          <w:szCs w:val="32"/>
        </w:rPr>
        <w:t>亿元</w:t>
      </w:r>
      <w:r>
        <w:rPr>
          <w:rFonts w:hint="eastAsia" w:eastAsia="仿宋_GB2312"/>
          <w:spacing w:val="-4"/>
          <w:sz w:val="32"/>
          <w:szCs w:val="32"/>
        </w:rPr>
        <w:t>。截至9月底，</w:t>
      </w:r>
      <w:r>
        <w:rPr>
          <w:rFonts w:eastAsia="仿宋_GB2312"/>
          <w:spacing w:val="-4"/>
          <w:sz w:val="32"/>
          <w:szCs w:val="32"/>
        </w:rPr>
        <w:t>已完成投资</w:t>
      </w:r>
      <w:r>
        <w:rPr>
          <w:rFonts w:hint="eastAsia" w:eastAsia="仿宋_GB2312"/>
          <w:spacing w:val="-4"/>
          <w:sz w:val="32"/>
          <w:szCs w:val="32"/>
        </w:rPr>
        <w:t>715.37</w:t>
      </w:r>
      <w:r>
        <w:rPr>
          <w:rFonts w:eastAsia="仿宋_GB2312"/>
          <w:spacing w:val="-4"/>
          <w:sz w:val="32"/>
          <w:szCs w:val="32"/>
        </w:rPr>
        <w:t>亿元，完成率</w:t>
      </w:r>
      <w:r>
        <w:rPr>
          <w:rFonts w:hint="eastAsia" w:eastAsia="仿宋_GB2312"/>
          <w:spacing w:val="-4"/>
          <w:sz w:val="32"/>
          <w:szCs w:val="32"/>
        </w:rPr>
        <w:t>为86.1</w:t>
      </w:r>
      <w:r>
        <w:rPr>
          <w:rFonts w:eastAsia="仿宋_GB2312"/>
          <w:spacing w:val="-4"/>
          <w:sz w:val="32"/>
          <w:szCs w:val="32"/>
        </w:rPr>
        <w:t>%，</w:t>
      </w:r>
      <w:r>
        <w:rPr>
          <w:rFonts w:hint="eastAsia" w:eastAsia="仿宋_GB2312"/>
          <w:spacing w:val="-4"/>
          <w:sz w:val="32"/>
          <w:szCs w:val="32"/>
        </w:rPr>
        <w:t>比上月提高11.1个百分点；计划开工74个</w:t>
      </w:r>
      <w:r>
        <w:rPr>
          <w:rFonts w:eastAsia="仿宋_GB2312"/>
          <w:spacing w:val="-4"/>
          <w:sz w:val="32"/>
          <w:szCs w:val="32"/>
        </w:rPr>
        <w:t>已开工</w:t>
      </w:r>
      <w:r>
        <w:rPr>
          <w:rFonts w:hint="eastAsia" w:eastAsia="仿宋_GB2312"/>
          <w:spacing w:val="-4"/>
          <w:sz w:val="32"/>
          <w:szCs w:val="32"/>
        </w:rPr>
        <w:t>62</w:t>
      </w:r>
      <w:r>
        <w:rPr>
          <w:rFonts w:eastAsia="仿宋_GB2312"/>
          <w:spacing w:val="-4"/>
          <w:sz w:val="32"/>
          <w:szCs w:val="32"/>
        </w:rPr>
        <w:t>个，开工率</w:t>
      </w:r>
      <w:r>
        <w:rPr>
          <w:rFonts w:hint="eastAsia" w:eastAsia="仿宋_GB2312"/>
          <w:spacing w:val="-4"/>
          <w:sz w:val="32"/>
          <w:szCs w:val="32"/>
        </w:rPr>
        <w:t>为83.8</w:t>
      </w:r>
      <w:r>
        <w:rPr>
          <w:rFonts w:eastAsia="仿宋_GB2312"/>
          <w:spacing w:val="-4"/>
          <w:sz w:val="32"/>
          <w:szCs w:val="32"/>
        </w:rPr>
        <w:t>%，</w:t>
      </w:r>
      <w:r>
        <w:rPr>
          <w:rFonts w:hint="eastAsia" w:eastAsia="仿宋_GB2312"/>
          <w:spacing w:val="-4"/>
          <w:sz w:val="32"/>
          <w:szCs w:val="32"/>
        </w:rPr>
        <w:t>比上月提高4.1个百分点。</w:t>
      </w:r>
      <w:r>
        <w:rPr>
          <w:rFonts w:hint="eastAsia" w:eastAsia="仿宋_GB2312"/>
          <w:sz w:val="32"/>
          <w:szCs w:val="32"/>
        </w:rPr>
        <w:t>其中，①111个省重点建设项目已完成投资278.33亿元，完成率为79.6%。②78个市四套班子领导挂钩联系重大项目已完成投资308.74亿元，完成率为77.5%。③223个5亿元以上项目已完成投资630.15亿元，完成率为85.7%（</w:t>
      </w:r>
      <w:r>
        <w:rPr>
          <w:rFonts w:hint="eastAsia" w:eastAsia="楷体_GB2312" w:cs="楷体_GB2312"/>
          <w:b/>
          <w:bCs/>
          <w:sz w:val="32"/>
          <w:szCs w:val="32"/>
        </w:rPr>
        <w:t>其中，5亿元以上工业项目完成投资60.10亿元，完成率为90.4%；5亿元以上服务业项目完成投资106.99亿元，完成率为95.5%</w:t>
      </w:r>
      <w:r>
        <w:rPr>
          <w:rFonts w:hint="eastAsia" w:eastAsia="仿宋_GB2312"/>
          <w:sz w:val="32"/>
          <w:szCs w:val="32"/>
        </w:rPr>
        <w:t>）。</w:t>
      </w:r>
    </w:p>
    <w:p>
      <w:pPr>
        <w:spacing w:line="560" w:lineRule="exact"/>
        <w:ind w:firstLine="627" w:firstLineChars="196"/>
        <w:rPr>
          <w:rFonts w:eastAsia="黑体"/>
          <w:sz w:val="32"/>
          <w:szCs w:val="32"/>
        </w:rPr>
      </w:pPr>
      <w:r>
        <w:rPr>
          <w:rFonts w:hint="eastAsia" w:eastAsia="黑体"/>
          <w:sz w:val="32"/>
          <w:szCs w:val="32"/>
        </w:rPr>
        <w:t>二、县（市、区）、省级产业集聚区重点建设项目推进情况</w:t>
      </w:r>
    </w:p>
    <w:p>
      <w:pPr>
        <w:spacing w:line="560" w:lineRule="exact"/>
        <w:ind w:firstLine="627" w:firstLineChars="196"/>
        <w:rPr>
          <w:rFonts w:eastAsia="仿宋_GB2312"/>
          <w:color w:val="FF0000"/>
          <w:sz w:val="32"/>
          <w:szCs w:val="32"/>
        </w:rPr>
      </w:pPr>
      <w:r>
        <w:rPr>
          <w:rFonts w:hint="eastAsia" w:eastAsia="仿宋_GB2312"/>
          <w:sz w:val="32"/>
          <w:szCs w:val="32"/>
        </w:rPr>
        <w:t>县（市、区）、省级产业集聚区负责的</w:t>
      </w:r>
      <w:r>
        <w:rPr>
          <w:rFonts w:eastAsia="仿宋_GB2312"/>
          <w:sz w:val="32"/>
          <w:szCs w:val="32"/>
        </w:rPr>
        <w:t>重点建设项目</w:t>
      </w:r>
      <w:r>
        <w:rPr>
          <w:rFonts w:hint="eastAsia" w:eastAsia="仿宋_GB2312"/>
          <w:sz w:val="32"/>
          <w:szCs w:val="32"/>
        </w:rPr>
        <w:t>共297</w:t>
      </w:r>
      <w:r>
        <w:rPr>
          <w:rFonts w:eastAsia="仿宋_GB2312"/>
          <w:sz w:val="32"/>
          <w:szCs w:val="32"/>
        </w:rPr>
        <w:t>个</w:t>
      </w:r>
      <w:r>
        <w:rPr>
          <w:rFonts w:hint="eastAsia" w:eastAsia="仿宋_GB2312"/>
          <w:sz w:val="32"/>
          <w:szCs w:val="32"/>
        </w:rPr>
        <w:t>。截至9月底</w:t>
      </w:r>
      <w:r>
        <w:rPr>
          <w:rFonts w:eastAsia="仿宋_GB2312"/>
          <w:sz w:val="32"/>
          <w:szCs w:val="32"/>
        </w:rPr>
        <w:t>，</w:t>
      </w:r>
      <w:r>
        <w:rPr>
          <w:rFonts w:hint="eastAsia" w:eastAsia="仿宋_GB2312"/>
          <w:sz w:val="32"/>
          <w:szCs w:val="32"/>
        </w:rPr>
        <w:t>已完成投资470.25亿元，完成率为96.5%。其中，</w:t>
      </w:r>
      <w:r>
        <w:rPr>
          <w:rFonts w:hint="eastAsia" w:eastAsia="仿宋_GB2312"/>
          <w:b/>
          <w:sz w:val="32"/>
          <w:szCs w:val="32"/>
        </w:rPr>
        <w:t>完成投资量较大</w:t>
      </w:r>
      <w:r>
        <w:rPr>
          <w:rFonts w:hint="eastAsia" w:eastAsia="仿宋_GB2312"/>
          <w:sz w:val="32"/>
          <w:szCs w:val="32"/>
        </w:rPr>
        <w:t>的有龙湾区、永嘉县、乐清市；完成进展较快的有鹿城区、瑞安市、龙湾区；完成率低于全市平均水平的有浙南产业集聚区85.8%、文成县78.9%、瓯江口产业集聚区77.5%。</w:t>
      </w:r>
    </w:p>
    <w:p>
      <w:pPr>
        <w:spacing w:line="560" w:lineRule="exact"/>
        <w:ind w:firstLine="627" w:firstLineChars="196"/>
        <w:rPr>
          <w:rFonts w:eastAsia="黑体"/>
          <w:sz w:val="32"/>
          <w:szCs w:val="32"/>
        </w:rPr>
      </w:pPr>
      <w:r>
        <w:rPr>
          <w:rFonts w:hint="eastAsia" w:eastAsia="黑体"/>
          <w:sz w:val="32"/>
          <w:szCs w:val="32"/>
        </w:rPr>
        <w:t>三、市直单位重点建设项目推进情况</w:t>
      </w:r>
    </w:p>
    <w:p>
      <w:pPr>
        <w:spacing w:line="560" w:lineRule="exact"/>
        <w:ind w:firstLine="627" w:firstLineChars="196"/>
        <w:rPr>
          <w:rFonts w:eastAsia="仿宋_GB2312"/>
          <w:sz w:val="32"/>
          <w:szCs w:val="32"/>
        </w:rPr>
      </w:pPr>
      <w:r>
        <w:rPr>
          <w:rFonts w:hint="eastAsia" w:eastAsia="仿宋_GB2312"/>
          <w:sz w:val="32"/>
          <w:szCs w:val="32"/>
        </w:rPr>
        <w:t>市直单位负责的</w:t>
      </w:r>
      <w:r>
        <w:rPr>
          <w:rFonts w:eastAsia="仿宋_GB2312"/>
          <w:sz w:val="32"/>
          <w:szCs w:val="32"/>
        </w:rPr>
        <w:t>重点建设项目</w:t>
      </w:r>
      <w:r>
        <w:rPr>
          <w:rFonts w:hint="eastAsia" w:eastAsia="仿宋_GB2312"/>
          <w:sz w:val="32"/>
          <w:szCs w:val="32"/>
        </w:rPr>
        <w:t>共59个。截至9月底，已完成投资245.12亿元，完成率为71.3%。其中，</w:t>
      </w:r>
      <w:r>
        <w:rPr>
          <w:rFonts w:hint="eastAsia" w:eastAsia="仿宋_GB2312"/>
          <w:b/>
          <w:sz w:val="32"/>
          <w:szCs w:val="32"/>
        </w:rPr>
        <w:t>完成投资量较大的</w:t>
      </w:r>
      <w:r>
        <w:rPr>
          <w:rFonts w:hint="eastAsia" w:eastAsia="仿宋_GB2312"/>
          <w:sz w:val="32"/>
          <w:szCs w:val="32"/>
        </w:rPr>
        <w:t>有市交投集团、市铁投集团、龙丽温高速公路指挥部；</w:t>
      </w:r>
      <w:r>
        <w:rPr>
          <w:rFonts w:hint="eastAsia" w:eastAsia="仿宋_GB2312"/>
          <w:b/>
          <w:sz w:val="32"/>
          <w:szCs w:val="32"/>
        </w:rPr>
        <w:t>完成进展较快的</w:t>
      </w:r>
      <w:r>
        <w:rPr>
          <w:rFonts w:hint="eastAsia" w:eastAsia="仿宋_GB2312"/>
          <w:sz w:val="32"/>
          <w:szCs w:val="32"/>
        </w:rPr>
        <w:t>有市名城集团、市城投集团、温州机场集团；</w:t>
      </w:r>
      <w:r>
        <w:rPr>
          <w:rFonts w:hint="eastAsia" w:eastAsia="仿宋_GB2312"/>
          <w:b/>
          <w:sz w:val="32"/>
          <w:szCs w:val="32"/>
        </w:rPr>
        <w:t>完成进度较慢的</w:t>
      </w:r>
      <w:r>
        <w:rPr>
          <w:rFonts w:hint="eastAsia" w:eastAsia="仿宋_GB2312"/>
          <w:sz w:val="32"/>
          <w:szCs w:val="32"/>
        </w:rPr>
        <w:t>有市公安局、龙丽温高速公路指挥部、市铁投集团、温州肯恩大学，完成率低于70%。</w:t>
      </w:r>
    </w:p>
    <w:p>
      <w:pPr>
        <w:spacing w:line="560" w:lineRule="exact"/>
        <w:ind w:firstLine="627" w:firstLineChars="196"/>
        <w:rPr>
          <w:rFonts w:eastAsia="黑体"/>
          <w:sz w:val="32"/>
          <w:szCs w:val="32"/>
        </w:rPr>
      </w:pPr>
      <w:r>
        <w:rPr>
          <w:rFonts w:hint="eastAsia" w:eastAsia="黑体"/>
          <w:sz w:val="32"/>
          <w:szCs w:val="32"/>
        </w:rPr>
        <w:t>四、全市重点建设进展滞后项目情况</w:t>
      </w:r>
    </w:p>
    <w:p>
      <w:pPr>
        <w:spacing w:line="560" w:lineRule="exact"/>
        <w:ind w:firstLine="627" w:firstLineChars="196"/>
        <w:rPr>
          <w:rFonts w:eastAsia="仿宋_GB2312" w:cs="仿宋_GB2312"/>
          <w:sz w:val="32"/>
          <w:szCs w:val="32"/>
        </w:rPr>
      </w:pPr>
      <w:r>
        <w:rPr>
          <w:rFonts w:hint="eastAsia" w:eastAsia="仿宋_GB2312"/>
          <w:sz w:val="32"/>
          <w:szCs w:val="32"/>
        </w:rPr>
        <w:t>截至9月底，全市重点建设项目投资完成率低于50%的项目还有25个（7月份以后开工项目除外）。其中，</w:t>
      </w:r>
      <w:r>
        <w:rPr>
          <w:rFonts w:hint="eastAsia" w:eastAsia="仿宋_GB2312" w:cs="仿宋_GB2312"/>
          <w:sz w:val="32"/>
          <w:szCs w:val="32"/>
        </w:rPr>
        <w:t>有</w:t>
      </w:r>
      <w:r>
        <w:rPr>
          <w:rFonts w:hint="eastAsia" w:eastAsia="仿宋_GB2312"/>
          <w:sz w:val="32"/>
          <w:szCs w:val="32"/>
        </w:rPr>
        <w:t>3个项目应开工未开工，分别是</w:t>
      </w:r>
      <w:r>
        <w:rPr>
          <w:rFonts w:hint="eastAsia" w:eastAsia="仿宋_GB2312" w:cs="仿宋_GB2312"/>
          <w:sz w:val="32"/>
          <w:szCs w:val="32"/>
        </w:rPr>
        <w:t>沈海高速复线瓯江口产业集聚区连接线工程（市政类项目）、228国道洞头灵昆段工程、228国道至323省道连接线工程。</w:t>
      </w:r>
    </w:p>
    <w:p>
      <w:pPr>
        <w:spacing w:line="560" w:lineRule="exact"/>
        <w:ind w:firstLine="627" w:firstLineChars="196"/>
        <w:rPr>
          <w:rFonts w:eastAsia="仿宋_GB2312"/>
          <w:sz w:val="32"/>
          <w:szCs w:val="32"/>
        </w:rPr>
      </w:pPr>
    </w:p>
    <w:p>
      <w:pPr>
        <w:spacing w:line="560" w:lineRule="exact"/>
        <w:ind w:firstLine="627" w:firstLineChars="196"/>
        <w:rPr>
          <w:rFonts w:eastAsia="仿宋_GB2312"/>
          <w:sz w:val="32"/>
          <w:szCs w:val="32"/>
        </w:rPr>
      </w:pPr>
      <w:r>
        <w:rPr>
          <w:rFonts w:eastAsia="仿宋_GB2312"/>
          <w:sz w:val="32"/>
          <w:szCs w:val="32"/>
        </w:rPr>
        <w:t>附件：1</w:t>
      </w:r>
      <w:r>
        <w:rPr>
          <w:rFonts w:hint="eastAsia" w:eastAsia="仿宋_GB2312"/>
          <w:sz w:val="32"/>
          <w:szCs w:val="32"/>
        </w:rPr>
        <w:t>.</w:t>
      </w:r>
      <w:r>
        <w:rPr>
          <w:rFonts w:eastAsia="仿宋_GB2312"/>
          <w:sz w:val="32"/>
          <w:szCs w:val="32"/>
        </w:rPr>
        <w:t>2018年市重点建设项目分行业完成情况表</w:t>
      </w:r>
    </w:p>
    <w:p>
      <w:pPr>
        <w:spacing w:line="560" w:lineRule="exact"/>
        <w:ind w:left="973" w:firstLine="627" w:firstLineChars="196"/>
        <w:rPr>
          <w:rFonts w:eastAsia="仿宋_GB2312"/>
          <w:sz w:val="32"/>
          <w:szCs w:val="32"/>
        </w:rPr>
      </w:pPr>
      <w:r>
        <w:rPr>
          <w:rFonts w:eastAsia="仿宋_GB2312"/>
          <w:sz w:val="32"/>
          <w:szCs w:val="32"/>
        </w:rPr>
        <w:t>2.2018年市重点建设项目分区域完成情况表</w:t>
      </w:r>
    </w:p>
    <w:p>
      <w:pPr>
        <w:spacing w:line="560" w:lineRule="exact"/>
        <w:ind w:left="973" w:firstLine="627" w:firstLineChars="196"/>
        <w:rPr>
          <w:rFonts w:eastAsia="仿宋_GB2312"/>
          <w:sz w:val="32"/>
          <w:szCs w:val="32"/>
          <w:u w:val="single"/>
        </w:rPr>
      </w:pPr>
      <w:r>
        <w:rPr>
          <w:rFonts w:hint="eastAsia" w:eastAsia="仿宋_GB2312"/>
          <w:sz w:val="32"/>
          <w:szCs w:val="32"/>
        </w:rPr>
        <w:t>3.2018年5亿元以上重大项目分区域完成情况表</w:t>
      </w:r>
    </w:p>
    <w:p>
      <w:pPr>
        <w:spacing w:line="560" w:lineRule="exact"/>
        <w:ind w:firstLine="1600" w:firstLineChars="500"/>
        <w:rPr>
          <w:rFonts w:eastAsia="仿宋_GB2312"/>
          <w:sz w:val="32"/>
          <w:szCs w:val="32"/>
        </w:rPr>
      </w:pPr>
      <w:r>
        <w:rPr>
          <w:rFonts w:hint="eastAsia" w:eastAsia="仿宋_GB2312"/>
          <w:sz w:val="32"/>
          <w:szCs w:val="32"/>
        </w:rPr>
        <w:t>4</w:t>
      </w:r>
      <w:r>
        <w:rPr>
          <w:rFonts w:eastAsia="仿宋_GB2312"/>
          <w:sz w:val="32"/>
          <w:szCs w:val="32"/>
        </w:rPr>
        <w:t>.2018年市重点建设项目市直单位完成情况表</w:t>
      </w:r>
    </w:p>
    <w:p>
      <w:pPr>
        <w:spacing w:line="560" w:lineRule="exact"/>
        <w:ind w:firstLine="1600" w:firstLineChars="500"/>
        <w:rPr>
          <w:rFonts w:eastAsia="仿宋_GB2312"/>
          <w:sz w:val="32"/>
          <w:szCs w:val="32"/>
        </w:rPr>
      </w:pPr>
      <w:r>
        <w:rPr>
          <w:rFonts w:hint="eastAsia" w:eastAsia="仿宋_GB2312"/>
          <w:sz w:val="32"/>
          <w:szCs w:val="32"/>
        </w:rPr>
        <w:t>5</w:t>
      </w:r>
      <w:r>
        <w:rPr>
          <w:rFonts w:eastAsia="仿宋_GB2312"/>
          <w:sz w:val="32"/>
          <w:szCs w:val="32"/>
        </w:rPr>
        <w:t>.2018年市重点建设项目开工完成情况表</w:t>
      </w:r>
    </w:p>
    <w:p>
      <w:pPr>
        <w:spacing w:line="560" w:lineRule="exact"/>
        <w:ind w:firstLine="1600" w:firstLineChars="500"/>
        <w:rPr>
          <w:rFonts w:eastAsia="仿宋_GB2312"/>
          <w:sz w:val="32"/>
          <w:szCs w:val="32"/>
        </w:rPr>
      </w:pPr>
      <w:r>
        <w:rPr>
          <w:rFonts w:hint="eastAsia" w:eastAsia="仿宋_GB2312"/>
          <w:sz w:val="32"/>
          <w:szCs w:val="32"/>
        </w:rPr>
        <w:t>6.市四套班子领导挂钩联系重大项目完成情况表</w:t>
      </w:r>
    </w:p>
    <w:p>
      <w:pPr>
        <w:spacing w:line="560" w:lineRule="exact"/>
        <w:ind w:firstLine="1600" w:firstLineChars="500"/>
        <w:rPr>
          <w:rFonts w:eastAsia="仿宋_GB2312"/>
          <w:sz w:val="32"/>
          <w:szCs w:val="32"/>
        </w:rPr>
      </w:pPr>
      <w:r>
        <w:rPr>
          <w:rFonts w:hint="eastAsia" w:eastAsia="仿宋_GB2312"/>
          <w:sz w:val="32"/>
          <w:szCs w:val="32"/>
        </w:rPr>
        <w:t>7.2018年市重点建设进展滞后项目情况表</w:t>
      </w:r>
    </w:p>
    <w:p>
      <w:pPr>
        <w:spacing w:line="500" w:lineRule="exact"/>
        <w:ind w:firstLine="1600" w:firstLineChars="500"/>
        <w:rPr>
          <w:rFonts w:eastAsia="仿宋_GB2312"/>
          <w:sz w:val="32"/>
          <w:szCs w:val="32"/>
        </w:rPr>
      </w:pPr>
    </w:p>
    <w:p>
      <w:pPr>
        <w:spacing w:line="520" w:lineRule="exact"/>
        <w:ind w:left="1582"/>
        <w:rPr>
          <w:rFonts w:eastAsia="仿宋_GB2312" w:cs="仿宋_GB2312"/>
          <w:sz w:val="28"/>
          <w:szCs w:val="28"/>
        </w:rPr>
        <w:sectPr>
          <w:footerReference r:id="rId3" w:type="default"/>
          <w:pgSz w:w="11906" w:h="16838"/>
          <w:pgMar w:top="2098" w:right="1474" w:bottom="1985" w:left="1588" w:header="851" w:footer="992" w:gutter="0"/>
          <w:pgNumType w:fmt="numberInDash"/>
          <w:cols w:space="0" w:num="1"/>
          <w:docGrid w:type="lines" w:linePitch="312" w:charSpace="0"/>
        </w:sectPr>
      </w:pPr>
    </w:p>
    <w:p>
      <w:pPr>
        <w:tabs>
          <w:tab w:val="left" w:pos="8640"/>
        </w:tabs>
        <w:spacing w:line="560" w:lineRule="exact"/>
        <w:rPr>
          <w:rFonts w:eastAsia="黑体"/>
          <w:sz w:val="32"/>
          <w:szCs w:val="32"/>
        </w:rPr>
      </w:pPr>
      <w:r>
        <w:rPr>
          <w:rFonts w:hint="eastAsia" w:eastAsia="黑体"/>
          <w:sz w:val="32"/>
          <w:szCs w:val="32"/>
        </w:rPr>
        <w:t>附件1</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2018年市重点建设项目分行业完成情况表</w:t>
      </w:r>
      <w:r>
        <w:rPr>
          <w:rFonts w:hint="eastAsia" w:eastAsia="楷体_GB2312"/>
          <w:sz w:val="32"/>
          <w:szCs w:val="32"/>
        </w:rPr>
        <w:t>（1-9月）</w:t>
      </w:r>
    </w:p>
    <w:p>
      <w:pPr>
        <w:tabs>
          <w:tab w:val="left" w:pos="8640"/>
        </w:tabs>
        <w:spacing w:line="500" w:lineRule="exact"/>
        <w:ind w:right="480"/>
        <w:jc w:val="right"/>
        <w:rPr>
          <w:rFonts w:eastAsia="楷体_GB2312"/>
          <w:sz w:val="24"/>
        </w:rPr>
      </w:pPr>
      <w:r>
        <w:rPr>
          <w:rFonts w:hint="eastAsia" w:eastAsia="楷体_GB2312"/>
          <w:sz w:val="24"/>
        </w:rPr>
        <w:t>单位：亿元、%</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851"/>
        <w:gridCol w:w="1134"/>
        <w:gridCol w:w="992"/>
        <w:gridCol w:w="992"/>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restart"/>
            <w:vAlign w:val="center"/>
          </w:tcPr>
          <w:p>
            <w:pPr>
              <w:tabs>
                <w:tab w:val="left" w:pos="8640"/>
              </w:tabs>
              <w:jc w:val="center"/>
              <w:rPr>
                <w:rFonts w:eastAsia="黑体"/>
                <w:sz w:val="24"/>
              </w:rPr>
            </w:pPr>
            <w:r>
              <w:rPr>
                <w:rFonts w:eastAsia="黑体"/>
                <w:sz w:val="24"/>
              </w:rPr>
              <w:t>序号</w:t>
            </w:r>
          </w:p>
        </w:tc>
        <w:tc>
          <w:tcPr>
            <w:tcW w:w="1701" w:type="dxa"/>
            <w:vMerge w:val="restart"/>
            <w:vAlign w:val="center"/>
          </w:tcPr>
          <w:p>
            <w:pPr>
              <w:tabs>
                <w:tab w:val="left" w:pos="8640"/>
              </w:tabs>
              <w:jc w:val="center"/>
              <w:rPr>
                <w:rFonts w:eastAsia="黑体"/>
                <w:sz w:val="24"/>
              </w:rPr>
            </w:pPr>
            <w:r>
              <w:rPr>
                <w:rFonts w:eastAsia="黑体"/>
                <w:sz w:val="24"/>
              </w:rPr>
              <w:t>分类</w:t>
            </w:r>
          </w:p>
        </w:tc>
        <w:tc>
          <w:tcPr>
            <w:tcW w:w="851" w:type="dxa"/>
            <w:vMerge w:val="restart"/>
            <w:vAlign w:val="center"/>
          </w:tcPr>
          <w:p>
            <w:pPr>
              <w:tabs>
                <w:tab w:val="left" w:pos="8640"/>
              </w:tabs>
              <w:jc w:val="center"/>
              <w:rPr>
                <w:rFonts w:eastAsia="黑体"/>
                <w:sz w:val="24"/>
              </w:rPr>
            </w:pPr>
            <w:r>
              <w:rPr>
                <w:rFonts w:eastAsia="黑体"/>
                <w:sz w:val="24"/>
              </w:rPr>
              <w:t>项目</w:t>
            </w:r>
          </w:p>
          <w:p>
            <w:pPr>
              <w:tabs>
                <w:tab w:val="left" w:pos="8640"/>
              </w:tabs>
              <w:jc w:val="center"/>
              <w:rPr>
                <w:rFonts w:eastAsia="黑体"/>
                <w:sz w:val="24"/>
              </w:rPr>
            </w:pPr>
            <w:r>
              <w:rPr>
                <w:rFonts w:eastAsia="黑体"/>
                <w:sz w:val="24"/>
              </w:rPr>
              <w:t>个数</w:t>
            </w:r>
          </w:p>
        </w:tc>
        <w:tc>
          <w:tcPr>
            <w:tcW w:w="1134" w:type="dxa"/>
            <w:vMerge w:val="restart"/>
            <w:vAlign w:val="center"/>
          </w:tcPr>
          <w:p>
            <w:pPr>
              <w:tabs>
                <w:tab w:val="left" w:pos="8640"/>
              </w:tabs>
              <w:jc w:val="center"/>
              <w:rPr>
                <w:rFonts w:eastAsia="黑体"/>
                <w:sz w:val="24"/>
              </w:rPr>
            </w:pPr>
            <w:r>
              <w:rPr>
                <w:rFonts w:eastAsia="黑体"/>
                <w:sz w:val="24"/>
              </w:rPr>
              <w:t>年度计</w:t>
            </w:r>
          </w:p>
          <w:p>
            <w:pPr>
              <w:tabs>
                <w:tab w:val="left" w:pos="8640"/>
              </w:tabs>
              <w:jc w:val="center"/>
              <w:rPr>
                <w:rFonts w:eastAsia="黑体"/>
                <w:sz w:val="24"/>
              </w:rPr>
            </w:pPr>
            <w:r>
              <w:rPr>
                <w:rFonts w:eastAsia="黑体"/>
                <w:sz w:val="24"/>
              </w:rPr>
              <w:t>划投资</w:t>
            </w:r>
          </w:p>
        </w:tc>
        <w:tc>
          <w:tcPr>
            <w:tcW w:w="992" w:type="dxa"/>
            <w:vMerge w:val="restart"/>
            <w:vAlign w:val="center"/>
          </w:tcPr>
          <w:p>
            <w:pPr>
              <w:tabs>
                <w:tab w:val="left" w:pos="8640"/>
              </w:tabs>
              <w:jc w:val="center"/>
              <w:rPr>
                <w:rFonts w:eastAsia="黑体"/>
                <w:sz w:val="24"/>
              </w:rPr>
            </w:pPr>
            <w:r>
              <w:rPr>
                <w:rFonts w:eastAsia="黑体"/>
                <w:sz w:val="24"/>
              </w:rPr>
              <w:t>完成</w:t>
            </w:r>
          </w:p>
          <w:p>
            <w:pPr>
              <w:tabs>
                <w:tab w:val="left" w:pos="8640"/>
              </w:tabs>
              <w:jc w:val="center"/>
              <w:rPr>
                <w:rFonts w:eastAsia="黑体"/>
                <w:sz w:val="24"/>
              </w:rPr>
            </w:pPr>
            <w:r>
              <w:rPr>
                <w:rFonts w:eastAsia="黑体"/>
                <w:sz w:val="24"/>
              </w:rPr>
              <w:t>投资</w:t>
            </w:r>
          </w:p>
        </w:tc>
        <w:tc>
          <w:tcPr>
            <w:tcW w:w="992" w:type="dxa"/>
            <w:vMerge w:val="restart"/>
            <w:vAlign w:val="center"/>
          </w:tcPr>
          <w:p>
            <w:pPr>
              <w:tabs>
                <w:tab w:val="left" w:pos="8640"/>
              </w:tabs>
              <w:jc w:val="center"/>
              <w:rPr>
                <w:rFonts w:eastAsia="黑体"/>
                <w:sz w:val="24"/>
              </w:rPr>
            </w:pPr>
            <w:r>
              <w:rPr>
                <w:rFonts w:eastAsia="黑体"/>
                <w:sz w:val="24"/>
              </w:rPr>
              <w:t>投资</w:t>
            </w:r>
          </w:p>
          <w:p>
            <w:pPr>
              <w:tabs>
                <w:tab w:val="left" w:pos="8640"/>
              </w:tabs>
              <w:jc w:val="center"/>
              <w:rPr>
                <w:rFonts w:eastAsia="黑体"/>
                <w:sz w:val="24"/>
              </w:rPr>
            </w:pPr>
            <w:r>
              <w:rPr>
                <w:rFonts w:eastAsia="黑体"/>
                <w:sz w:val="24"/>
              </w:rPr>
              <w:t>完成率</w:t>
            </w:r>
          </w:p>
        </w:tc>
        <w:tc>
          <w:tcPr>
            <w:tcW w:w="709" w:type="dxa"/>
            <w:vMerge w:val="restart"/>
            <w:tcBorders>
              <w:right w:val="double" w:color="auto" w:sz="4" w:space="0"/>
            </w:tcBorders>
            <w:vAlign w:val="center"/>
          </w:tcPr>
          <w:p>
            <w:pPr>
              <w:tabs>
                <w:tab w:val="left" w:pos="8640"/>
              </w:tabs>
              <w:jc w:val="center"/>
              <w:rPr>
                <w:rFonts w:eastAsia="黑体"/>
                <w:sz w:val="24"/>
              </w:rPr>
            </w:pPr>
            <w:r>
              <w:rPr>
                <w:rFonts w:eastAsia="黑体"/>
                <w:sz w:val="24"/>
              </w:rPr>
              <w:t>占比</w:t>
            </w:r>
          </w:p>
        </w:tc>
        <w:tc>
          <w:tcPr>
            <w:tcW w:w="2693" w:type="dxa"/>
            <w:gridSpan w:val="3"/>
            <w:tcBorders>
              <w:left w:val="double" w:color="auto" w:sz="4" w:space="0"/>
            </w:tcBorders>
            <w:vAlign w:val="center"/>
          </w:tcPr>
          <w:p>
            <w:pPr>
              <w:tabs>
                <w:tab w:val="left" w:pos="8640"/>
              </w:tabs>
              <w:jc w:val="center"/>
              <w:rPr>
                <w:rFonts w:eastAsia="黑体"/>
                <w:sz w:val="24"/>
              </w:rPr>
            </w:pPr>
            <w:r>
              <w:rPr>
                <w:rFonts w:hint="eastAsia" w:eastAsia="黑体"/>
                <w:sz w:val="24"/>
              </w:rPr>
              <w:t>其中：5亿元以上项目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vMerge w:val="continue"/>
            <w:vAlign w:val="center"/>
          </w:tcPr>
          <w:p>
            <w:pPr>
              <w:tabs>
                <w:tab w:val="left" w:pos="8640"/>
              </w:tabs>
              <w:jc w:val="center"/>
              <w:rPr>
                <w:rFonts w:eastAsia="黑体"/>
                <w:sz w:val="24"/>
              </w:rPr>
            </w:pPr>
          </w:p>
        </w:tc>
        <w:tc>
          <w:tcPr>
            <w:tcW w:w="1701" w:type="dxa"/>
            <w:vMerge w:val="continue"/>
            <w:vAlign w:val="center"/>
          </w:tcPr>
          <w:p>
            <w:pPr>
              <w:tabs>
                <w:tab w:val="left" w:pos="8640"/>
              </w:tabs>
              <w:jc w:val="center"/>
              <w:rPr>
                <w:rFonts w:eastAsia="黑体"/>
                <w:sz w:val="24"/>
              </w:rPr>
            </w:pPr>
          </w:p>
        </w:tc>
        <w:tc>
          <w:tcPr>
            <w:tcW w:w="851" w:type="dxa"/>
            <w:vMerge w:val="continue"/>
            <w:vAlign w:val="center"/>
          </w:tcPr>
          <w:p>
            <w:pPr>
              <w:tabs>
                <w:tab w:val="left" w:pos="8640"/>
              </w:tabs>
              <w:jc w:val="center"/>
              <w:rPr>
                <w:rFonts w:eastAsia="黑体"/>
                <w:sz w:val="24"/>
              </w:rPr>
            </w:pPr>
          </w:p>
        </w:tc>
        <w:tc>
          <w:tcPr>
            <w:tcW w:w="1134"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709" w:type="dxa"/>
            <w:vMerge w:val="continue"/>
            <w:tcBorders>
              <w:right w:val="double" w:color="auto" w:sz="4" w:space="0"/>
            </w:tcBorders>
            <w:vAlign w:val="center"/>
          </w:tcPr>
          <w:p>
            <w:pPr>
              <w:tabs>
                <w:tab w:val="left" w:pos="8640"/>
              </w:tabs>
              <w:jc w:val="center"/>
              <w:rPr>
                <w:rFonts w:eastAsia="黑体"/>
                <w:sz w:val="24"/>
              </w:rPr>
            </w:pPr>
          </w:p>
        </w:tc>
        <w:tc>
          <w:tcPr>
            <w:tcW w:w="709" w:type="dxa"/>
            <w:tcBorders>
              <w:left w:val="double" w:color="auto" w:sz="4" w:space="0"/>
            </w:tcBorders>
            <w:vAlign w:val="center"/>
          </w:tcPr>
          <w:p>
            <w:pPr>
              <w:tabs>
                <w:tab w:val="left" w:pos="8640"/>
              </w:tabs>
              <w:jc w:val="center"/>
              <w:rPr>
                <w:rFonts w:eastAsia="黑体"/>
                <w:sz w:val="24"/>
              </w:rPr>
            </w:pPr>
            <w:r>
              <w:rPr>
                <w:rFonts w:hint="eastAsia" w:eastAsia="黑体"/>
                <w:sz w:val="24"/>
              </w:rPr>
              <w:t>个数</w:t>
            </w:r>
          </w:p>
        </w:tc>
        <w:tc>
          <w:tcPr>
            <w:tcW w:w="992" w:type="dxa"/>
            <w:vAlign w:val="center"/>
          </w:tcPr>
          <w:p>
            <w:pPr>
              <w:tabs>
                <w:tab w:val="left" w:pos="8640"/>
              </w:tabs>
              <w:jc w:val="center"/>
              <w:rPr>
                <w:rFonts w:eastAsia="黑体"/>
                <w:sz w:val="24"/>
              </w:rPr>
            </w:pPr>
            <w:r>
              <w:rPr>
                <w:rFonts w:hint="eastAsia" w:eastAsia="黑体"/>
                <w:sz w:val="24"/>
              </w:rPr>
              <w:t>完成额</w:t>
            </w:r>
          </w:p>
        </w:tc>
        <w:tc>
          <w:tcPr>
            <w:tcW w:w="992" w:type="dxa"/>
            <w:vAlign w:val="center"/>
          </w:tcPr>
          <w:p>
            <w:pPr>
              <w:tabs>
                <w:tab w:val="left" w:pos="8640"/>
              </w:tabs>
              <w:jc w:val="center"/>
              <w:rPr>
                <w:rFonts w:eastAsia="黑体"/>
                <w:sz w:val="24"/>
              </w:rPr>
            </w:pPr>
            <w:r>
              <w:rPr>
                <w:rFonts w:hint="eastAsia" w:eastAsia="黑体"/>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1</w:t>
            </w:r>
          </w:p>
        </w:tc>
        <w:tc>
          <w:tcPr>
            <w:tcW w:w="1701" w:type="dxa"/>
            <w:vAlign w:val="center"/>
          </w:tcPr>
          <w:p>
            <w:pPr>
              <w:tabs>
                <w:tab w:val="left" w:pos="8640"/>
              </w:tabs>
              <w:spacing w:line="300" w:lineRule="exact"/>
              <w:jc w:val="center"/>
              <w:rPr>
                <w:rFonts w:eastAsia="仿宋_GB2312"/>
                <w:sz w:val="24"/>
              </w:rPr>
            </w:pPr>
            <w:r>
              <w:rPr>
                <w:rFonts w:eastAsia="仿宋_GB2312"/>
                <w:sz w:val="24"/>
              </w:rPr>
              <w:t>农水项目</w:t>
            </w:r>
          </w:p>
        </w:tc>
        <w:tc>
          <w:tcPr>
            <w:tcW w:w="851" w:type="dxa"/>
            <w:vAlign w:val="center"/>
          </w:tcPr>
          <w:p>
            <w:pPr>
              <w:jc w:val="center"/>
              <w:rPr>
                <w:rFonts w:eastAsia="仿宋_GB2312"/>
                <w:sz w:val="24"/>
              </w:rPr>
            </w:pPr>
            <w:r>
              <w:rPr>
                <w:rFonts w:eastAsia="仿宋_GB2312"/>
                <w:sz w:val="24"/>
              </w:rPr>
              <w:t>35</w:t>
            </w:r>
          </w:p>
        </w:tc>
        <w:tc>
          <w:tcPr>
            <w:tcW w:w="1134" w:type="dxa"/>
            <w:vAlign w:val="center"/>
          </w:tcPr>
          <w:p>
            <w:pPr>
              <w:jc w:val="center"/>
              <w:rPr>
                <w:rFonts w:eastAsia="仿宋_GB2312"/>
                <w:sz w:val="24"/>
              </w:rPr>
            </w:pPr>
            <w:r>
              <w:rPr>
                <w:rFonts w:eastAsia="仿宋_GB2312"/>
                <w:sz w:val="24"/>
              </w:rPr>
              <w:t>32.52</w:t>
            </w:r>
          </w:p>
        </w:tc>
        <w:tc>
          <w:tcPr>
            <w:tcW w:w="992" w:type="dxa"/>
            <w:vAlign w:val="center"/>
          </w:tcPr>
          <w:p>
            <w:pPr>
              <w:jc w:val="center"/>
              <w:rPr>
                <w:rFonts w:eastAsia="仿宋_GB2312"/>
                <w:sz w:val="24"/>
              </w:rPr>
            </w:pPr>
            <w:r>
              <w:rPr>
                <w:rFonts w:hint="eastAsia" w:eastAsia="仿宋_GB2312"/>
                <w:sz w:val="24"/>
              </w:rPr>
              <w:t>27.49</w:t>
            </w:r>
          </w:p>
        </w:tc>
        <w:tc>
          <w:tcPr>
            <w:tcW w:w="992" w:type="dxa"/>
            <w:vAlign w:val="center"/>
          </w:tcPr>
          <w:p>
            <w:pPr>
              <w:jc w:val="center"/>
              <w:rPr>
                <w:rFonts w:eastAsia="仿宋_GB2312"/>
                <w:sz w:val="24"/>
              </w:rPr>
            </w:pPr>
            <w:r>
              <w:rPr>
                <w:rFonts w:hint="eastAsia" w:eastAsia="仿宋_GB2312"/>
                <w:sz w:val="24"/>
              </w:rPr>
              <w:t xml:space="preserve">84.5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20</w:t>
            </w:r>
          </w:p>
        </w:tc>
        <w:tc>
          <w:tcPr>
            <w:tcW w:w="992" w:type="dxa"/>
            <w:vAlign w:val="center"/>
          </w:tcPr>
          <w:p>
            <w:pPr>
              <w:jc w:val="center"/>
              <w:rPr>
                <w:rFonts w:cs="宋体"/>
                <w:sz w:val="22"/>
                <w:szCs w:val="22"/>
              </w:rPr>
            </w:pPr>
            <w:r>
              <w:rPr>
                <w:rFonts w:hint="eastAsia"/>
                <w:sz w:val="22"/>
                <w:szCs w:val="22"/>
              </w:rPr>
              <w:t>21.42</w:t>
            </w:r>
          </w:p>
        </w:tc>
        <w:tc>
          <w:tcPr>
            <w:tcW w:w="992" w:type="dxa"/>
            <w:vAlign w:val="center"/>
          </w:tcPr>
          <w:p>
            <w:pPr>
              <w:jc w:val="center"/>
              <w:rPr>
                <w:rFonts w:cs="宋体"/>
                <w:color w:val="000000"/>
                <w:sz w:val="22"/>
                <w:szCs w:val="22"/>
              </w:rPr>
            </w:pPr>
            <w:r>
              <w:rPr>
                <w:rFonts w:hint="eastAsia"/>
                <w:color w:val="000000"/>
                <w:sz w:val="22"/>
                <w:szCs w:val="22"/>
              </w:rPr>
              <w:t xml:space="preserve">84.2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2</w:t>
            </w:r>
          </w:p>
        </w:tc>
        <w:tc>
          <w:tcPr>
            <w:tcW w:w="1701" w:type="dxa"/>
            <w:vAlign w:val="center"/>
          </w:tcPr>
          <w:p>
            <w:pPr>
              <w:tabs>
                <w:tab w:val="left" w:pos="8640"/>
              </w:tabs>
              <w:spacing w:line="300" w:lineRule="exact"/>
              <w:jc w:val="center"/>
              <w:rPr>
                <w:rFonts w:eastAsia="仿宋_GB2312"/>
                <w:sz w:val="24"/>
              </w:rPr>
            </w:pPr>
            <w:r>
              <w:rPr>
                <w:rFonts w:eastAsia="仿宋_GB2312"/>
                <w:sz w:val="24"/>
              </w:rPr>
              <w:t>交通项目</w:t>
            </w:r>
          </w:p>
        </w:tc>
        <w:tc>
          <w:tcPr>
            <w:tcW w:w="851" w:type="dxa"/>
            <w:vAlign w:val="center"/>
          </w:tcPr>
          <w:p>
            <w:pPr>
              <w:jc w:val="center"/>
              <w:rPr>
                <w:rFonts w:eastAsia="仿宋_GB2312"/>
                <w:sz w:val="24"/>
              </w:rPr>
            </w:pPr>
            <w:r>
              <w:rPr>
                <w:rFonts w:eastAsia="仿宋_GB2312"/>
                <w:sz w:val="24"/>
              </w:rPr>
              <w:t>68</w:t>
            </w:r>
          </w:p>
        </w:tc>
        <w:tc>
          <w:tcPr>
            <w:tcW w:w="1134" w:type="dxa"/>
            <w:vAlign w:val="center"/>
          </w:tcPr>
          <w:p>
            <w:pPr>
              <w:jc w:val="center"/>
              <w:rPr>
                <w:rFonts w:eastAsia="仿宋_GB2312"/>
                <w:sz w:val="24"/>
              </w:rPr>
            </w:pPr>
            <w:r>
              <w:rPr>
                <w:rFonts w:eastAsia="仿宋_GB2312"/>
                <w:sz w:val="24"/>
              </w:rPr>
              <w:t>317.54</w:t>
            </w:r>
          </w:p>
        </w:tc>
        <w:tc>
          <w:tcPr>
            <w:tcW w:w="992" w:type="dxa"/>
            <w:vAlign w:val="center"/>
          </w:tcPr>
          <w:p>
            <w:pPr>
              <w:jc w:val="center"/>
              <w:rPr>
                <w:rFonts w:eastAsia="仿宋_GB2312"/>
                <w:sz w:val="24"/>
              </w:rPr>
            </w:pPr>
            <w:r>
              <w:rPr>
                <w:rFonts w:hint="eastAsia" w:eastAsia="仿宋_GB2312"/>
                <w:sz w:val="24"/>
              </w:rPr>
              <w:t>237.42</w:t>
            </w:r>
          </w:p>
        </w:tc>
        <w:tc>
          <w:tcPr>
            <w:tcW w:w="992" w:type="dxa"/>
            <w:vAlign w:val="center"/>
          </w:tcPr>
          <w:p>
            <w:pPr>
              <w:jc w:val="center"/>
              <w:rPr>
                <w:rFonts w:eastAsia="仿宋_GB2312"/>
                <w:sz w:val="24"/>
              </w:rPr>
            </w:pPr>
            <w:r>
              <w:rPr>
                <w:rFonts w:hint="eastAsia" w:eastAsia="仿宋_GB2312"/>
                <w:sz w:val="24"/>
              </w:rPr>
              <w:t xml:space="preserve">74.8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33.2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49</w:t>
            </w:r>
          </w:p>
        </w:tc>
        <w:tc>
          <w:tcPr>
            <w:tcW w:w="992" w:type="dxa"/>
            <w:vAlign w:val="center"/>
          </w:tcPr>
          <w:p>
            <w:pPr>
              <w:jc w:val="right"/>
              <w:rPr>
                <w:rFonts w:cs="宋体"/>
                <w:color w:val="000000"/>
                <w:sz w:val="22"/>
                <w:szCs w:val="22"/>
              </w:rPr>
            </w:pPr>
            <w:r>
              <w:rPr>
                <w:rFonts w:hint="eastAsia"/>
                <w:color w:val="000000"/>
                <w:sz w:val="22"/>
                <w:szCs w:val="22"/>
              </w:rPr>
              <w:t>216.65</w:t>
            </w:r>
          </w:p>
        </w:tc>
        <w:tc>
          <w:tcPr>
            <w:tcW w:w="992" w:type="dxa"/>
            <w:vAlign w:val="center"/>
          </w:tcPr>
          <w:p>
            <w:pPr>
              <w:jc w:val="center"/>
              <w:rPr>
                <w:rFonts w:cs="宋体"/>
                <w:color w:val="000000"/>
                <w:sz w:val="22"/>
                <w:szCs w:val="22"/>
              </w:rPr>
            </w:pPr>
            <w:r>
              <w:rPr>
                <w:rFonts w:hint="eastAsia"/>
                <w:color w:val="000000"/>
                <w:sz w:val="22"/>
                <w:szCs w:val="22"/>
              </w:rPr>
              <w:t xml:space="preserve">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3</w:t>
            </w:r>
          </w:p>
        </w:tc>
        <w:tc>
          <w:tcPr>
            <w:tcW w:w="1701" w:type="dxa"/>
            <w:vAlign w:val="center"/>
          </w:tcPr>
          <w:p>
            <w:pPr>
              <w:tabs>
                <w:tab w:val="left" w:pos="8640"/>
              </w:tabs>
              <w:spacing w:line="300" w:lineRule="exact"/>
              <w:jc w:val="center"/>
              <w:rPr>
                <w:rFonts w:eastAsia="仿宋_GB2312"/>
                <w:sz w:val="24"/>
              </w:rPr>
            </w:pPr>
            <w:r>
              <w:rPr>
                <w:rFonts w:eastAsia="仿宋_GB2312"/>
                <w:sz w:val="24"/>
              </w:rPr>
              <w:t>能源项目</w:t>
            </w:r>
          </w:p>
        </w:tc>
        <w:tc>
          <w:tcPr>
            <w:tcW w:w="851" w:type="dxa"/>
            <w:vAlign w:val="center"/>
          </w:tcPr>
          <w:p>
            <w:pPr>
              <w:jc w:val="center"/>
              <w:rPr>
                <w:rFonts w:eastAsia="仿宋_GB2312"/>
                <w:sz w:val="24"/>
              </w:rPr>
            </w:pPr>
            <w:r>
              <w:rPr>
                <w:rFonts w:eastAsia="仿宋_GB2312"/>
                <w:sz w:val="24"/>
              </w:rPr>
              <w:t>11</w:t>
            </w:r>
          </w:p>
        </w:tc>
        <w:tc>
          <w:tcPr>
            <w:tcW w:w="1134" w:type="dxa"/>
            <w:vAlign w:val="center"/>
          </w:tcPr>
          <w:p>
            <w:pPr>
              <w:jc w:val="center"/>
              <w:rPr>
                <w:rFonts w:eastAsia="仿宋_GB2312"/>
                <w:sz w:val="24"/>
              </w:rPr>
            </w:pPr>
            <w:r>
              <w:rPr>
                <w:rFonts w:eastAsia="仿宋_GB2312"/>
                <w:sz w:val="24"/>
              </w:rPr>
              <w:t>35.99</w:t>
            </w:r>
          </w:p>
        </w:tc>
        <w:tc>
          <w:tcPr>
            <w:tcW w:w="992" w:type="dxa"/>
            <w:vAlign w:val="center"/>
          </w:tcPr>
          <w:p>
            <w:pPr>
              <w:jc w:val="center"/>
              <w:rPr>
                <w:rFonts w:eastAsia="仿宋_GB2312"/>
                <w:sz w:val="24"/>
              </w:rPr>
            </w:pPr>
            <w:r>
              <w:rPr>
                <w:rFonts w:hint="eastAsia" w:eastAsia="仿宋_GB2312"/>
                <w:sz w:val="24"/>
              </w:rPr>
              <w:t>30.93</w:t>
            </w:r>
          </w:p>
        </w:tc>
        <w:tc>
          <w:tcPr>
            <w:tcW w:w="992" w:type="dxa"/>
            <w:vAlign w:val="center"/>
          </w:tcPr>
          <w:p>
            <w:pPr>
              <w:jc w:val="center"/>
              <w:rPr>
                <w:rFonts w:eastAsia="仿宋_GB2312"/>
                <w:sz w:val="24"/>
              </w:rPr>
            </w:pPr>
            <w:r>
              <w:rPr>
                <w:rFonts w:hint="eastAsia" w:eastAsia="仿宋_GB2312"/>
                <w:sz w:val="24"/>
              </w:rPr>
              <w:t xml:space="preserve">85.9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4.3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7</w:t>
            </w:r>
          </w:p>
        </w:tc>
        <w:tc>
          <w:tcPr>
            <w:tcW w:w="992" w:type="dxa"/>
            <w:vAlign w:val="center"/>
          </w:tcPr>
          <w:p>
            <w:pPr>
              <w:jc w:val="right"/>
              <w:rPr>
                <w:rFonts w:cs="宋体"/>
                <w:color w:val="000000"/>
                <w:sz w:val="22"/>
                <w:szCs w:val="22"/>
              </w:rPr>
            </w:pPr>
            <w:r>
              <w:rPr>
                <w:rFonts w:hint="eastAsia"/>
                <w:color w:val="000000"/>
                <w:sz w:val="22"/>
                <w:szCs w:val="22"/>
              </w:rPr>
              <w:t>27.08</w:t>
            </w:r>
          </w:p>
        </w:tc>
        <w:tc>
          <w:tcPr>
            <w:tcW w:w="992" w:type="dxa"/>
            <w:vAlign w:val="center"/>
          </w:tcPr>
          <w:p>
            <w:pPr>
              <w:jc w:val="center"/>
              <w:rPr>
                <w:rFonts w:cs="宋体"/>
                <w:color w:val="000000"/>
                <w:sz w:val="22"/>
                <w:szCs w:val="22"/>
              </w:rPr>
            </w:pPr>
            <w:r>
              <w:rPr>
                <w:rFonts w:hint="eastAsia"/>
                <w:color w:val="000000"/>
                <w:sz w:val="22"/>
                <w:szCs w:val="22"/>
              </w:rPr>
              <w:t xml:space="preserve">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4</w:t>
            </w:r>
          </w:p>
        </w:tc>
        <w:tc>
          <w:tcPr>
            <w:tcW w:w="1701" w:type="dxa"/>
            <w:vAlign w:val="center"/>
          </w:tcPr>
          <w:p>
            <w:pPr>
              <w:tabs>
                <w:tab w:val="left" w:pos="8640"/>
              </w:tabs>
              <w:spacing w:line="300" w:lineRule="exact"/>
              <w:jc w:val="center"/>
              <w:rPr>
                <w:rFonts w:eastAsia="仿宋_GB2312"/>
                <w:sz w:val="24"/>
              </w:rPr>
            </w:pPr>
            <w:r>
              <w:rPr>
                <w:rFonts w:eastAsia="仿宋_GB2312"/>
                <w:sz w:val="24"/>
              </w:rPr>
              <w:t>工业项目</w:t>
            </w:r>
          </w:p>
        </w:tc>
        <w:tc>
          <w:tcPr>
            <w:tcW w:w="851" w:type="dxa"/>
            <w:vAlign w:val="center"/>
          </w:tcPr>
          <w:p>
            <w:pPr>
              <w:jc w:val="center"/>
              <w:rPr>
                <w:rFonts w:eastAsia="仿宋_GB2312"/>
                <w:sz w:val="24"/>
              </w:rPr>
            </w:pPr>
            <w:r>
              <w:rPr>
                <w:rFonts w:eastAsia="仿宋_GB2312"/>
                <w:sz w:val="24"/>
              </w:rPr>
              <w:t>42</w:t>
            </w:r>
          </w:p>
        </w:tc>
        <w:tc>
          <w:tcPr>
            <w:tcW w:w="1134" w:type="dxa"/>
            <w:vAlign w:val="center"/>
          </w:tcPr>
          <w:p>
            <w:pPr>
              <w:jc w:val="center"/>
              <w:rPr>
                <w:rFonts w:eastAsia="仿宋_GB2312"/>
                <w:sz w:val="24"/>
              </w:rPr>
            </w:pPr>
            <w:r>
              <w:rPr>
                <w:rFonts w:eastAsia="仿宋_GB2312"/>
                <w:sz w:val="24"/>
              </w:rPr>
              <w:t>76.85</w:t>
            </w:r>
          </w:p>
        </w:tc>
        <w:tc>
          <w:tcPr>
            <w:tcW w:w="992" w:type="dxa"/>
            <w:vAlign w:val="center"/>
          </w:tcPr>
          <w:p>
            <w:pPr>
              <w:jc w:val="center"/>
              <w:rPr>
                <w:rFonts w:eastAsia="仿宋_GB2312"/>
                <w:sz w:val="24"/>
              </w:rPr>
            </w:pPr>
            <w:r>
              <w:rPr>
                <w:rFonts w:hint="eastAsia" w:eastAsia="仿宋_GB2312"/>
                <w:sz w:val="24"/>
              </w:rPr>
              <w:t>68.96</w:t>
            </w:r>
          </w:p>
        </w:tc>
        <w:tc>
          <w:tcPr>
            <w:tcW w:w="992" w:type="dxa"/>
            <w:vAlign w:val="center"/>
          </w:tcPr>
          <w:p>
            <w:pPr>
              <w:jc w:val="center"/>
              <w:rPr>
                <w:rFonts w:eastAsia="仿宋_GB2312"/>
                <w:sz w:val="24"/>
              </w:rPr>
            </w:pPr>
            <w:r>
              <w:rPr>
                <w:rFonts w:hint="eastAsia" w:eastAsia="仿宋_GB2312"/>
                <w:sz w:val="24"/>
              </w:rPr>
              <w:t xml:space="preserve">89.7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9.6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28</w:t>
            </w:r>
          </w:p>
        </w:tc>
        <w:tc>
          <w:tcPr>
            <w:tcW w:w="992" w:type="dxa"/>
            <w:shd w:val="clear" w:color="auto" w:fill="auto"/>
            <w:vAlign w:val="center"/>
          </w:tcPr>
          <w:p>
            <w:pPr>
              <w:jc w:val="right"/>
              <w:rPr>
                <w:rFonts w:cs="宋体"/>
                <w:color w:val="000000"/>
                <w:sz w:val="22"/>
                <w:szCs w:val="22"/>
              </w:rPr>
            </w:pPr>
            <w:r>
              <w:rPr>
                <w:rFonts w:hint="eastAsia"/>
                <w:color w:val="000000"/>
                <w:sz w:val="22"/>
                <w:szCs w:val="22"/>
              </w:rPr>
              <w:t>60.10</w:t>
            </w:r>
          </w:p>
        </w:tc>
        <w:tc>
          <w:tcPr>
            <w:tcW w:w="992" w:type="dxa"/>
            <w:shd w:val="clear" w:color="auto" w:fill="auto"/>
            <w:vAlign w:val="center"/>
          </w:tcPr>
          <w:p>
            <w:pPr>
              <w:jc w:val="center"/>
              <w:rPr>
                <w:rFonts w:cs="宋体"/>
                <w:color w:val="000000"/>
                <w:sz w:val="22"/>
                <w:szCs w:val="22"/>
              </w:rPr>
            </w:pPr>
            <w:r>
              <w:rPr>
                <w:rFonts w:hint="eastAsia"/>
                <w:color w:val="000000"/>
                <w:sz w:val="22"/>
                <w:szCs w:val="22"/>
              </w:rPr>
              <w:t xml:space="preserve">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5</w:t>
            </w:r>
          </w:p>
        </w:tc>
        <w:tc>
          <w:tcPr>
            <w:tcW w:w="1701" w:type="dxa"/>
            <w:vAlign w:val="center"/>
          </w:tcPr>
          <w:p>
            <w:pPr>
              <w:tabs>
                <w:tab w:val="left" w:pos="8640"/>
              </w:tabs>
              <w:spacing w:line="300" w:lineRule="exact"/>
              <w:jc w:val="center"/>
              <w:rPr>
                <w:rFonts w:eastAsia="仿宋_GB2312"/>
                <w:sz w:val="24"/>
              </w:rPr>
            </w:pPr>
            <w:r>
              <w:rPr>
                <w:rFonts w:eastAsia="仿宋_GB2312"/>
                <w:sz w:val="24"/>
              </w:rPr>
              <w:t>社会发展项目</w:t>
            </w:r>
          </w:p>
        </w:tc>
        <w:tc>
          <w:tcPr>
            <w:tcW w:w="851" w:type="dxa"/>
            <w:vAlign w:val="center"/>
          </w:tcPr>
          <w:p>
            <w:pPr>
              <w:jc w:val="center"/>
              <w:rPr>
                <w:rFonts w:eastAsia="仿宋_GB2312"/>
                <w:sz w:val="24"/>
              </w:rPr>
            </w:pPr>
            <w:r>
              <w:rPr>
                <w:rFonts w:eastAsia="仿宋_GB2312"/>
                <w:sz w:val="24"/>
              </w:rPr>
              <w:t>46</w:t>
            </w:r>
          </w:p>
        </w:tc>
        <w:tc>
          <w:tcPr>
            <w:tcW w:w="1134" w:type="dxa"/>
            <w:vAlign w:val="center"/>
          </w:tcPr>
          <w:p>
            <w:pPr>
              <w:jc w:val="center"/>
              <w:rPr>
                <w:rFonts w:eastAsia="仿宋_GB2312"/>
                <w:sz w:val="24"/>
              </w:rPr>
            </w:pPr>
            <w:r>
              <w:rPr>
                <w:rFonts w:eastAsia="仿宋_GB2312"/>
                <w:sz w:val="24"/>
              </w:rPr>
              <w:t>46.19</w:t>
            </w:r>
          </w:p>
        </w:tc>
        <w:tc>
          <w:tcPr>
            <w:tcW w:w="992" w:type="dxa"/>
            <w:vAlign w:val="center"/>
          </w:tcPr>
          <w:p>
            <w:pPr>
              <w:jc w:val="center"/>
              <w:rPr>
                <w:rFonts w:eastAsia="仿宋_GB2312"/>
                <w:sz w:val="24"/>
              </w:rPr>
            </w:pPr>
            <w:r>
              <w:rPr>
                <w:rFonts w:hint="eastAsia" w:eastAsia="仿宋_GB2312"/>
                <w:sz w:val="24"/>
              </w:rPr>
              <w:t>34.12</w:t>
            </w:r>
          </w:p>
        </w:tc>
        <w:tc>
          <w:tcPr>
            <w:tcW w:w="992" w:type="dxa"/>
            <w:vAlign w:val="center"/>
          </w:tcPr>
          <w:p>
            <w:pPr>
              <w:jc w:val="center"/>
              <w:rPr>
                <w:rFonts w:eastAsia="仿宋_GB2312"/>
                <w:sz w:val="24"/>
              </w:rPr>
            </w:pPr>
            <w:r>
              <w:rPr>
                <w:rFonts w:hint="eastAsia" w:eastAsia="仿宋_GB2312"/>
                <w:sz w:val="24"/>
              </w:rPr>
              <w:t xml:space="preserve">73.9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17</w:t>
            </w:r>
          </w:p>
        </w:tc>
        <w:tc>
          <w:tcPr>
            <w:tcW w:w="992" w:type="dxa"/>
            <w:vAlign w:val="center"/>
          </w:tcPr>
          <w:p>
            <w:pPr>
              <w:jc w:val="right"/>
              <w:rPr>
                <w:rFonts w:cs="宋体"/>
                <w:color w:val="000000"/>
                <w:sz w:val="22"/>
                <w:szCs w:val="22"/>
              </w:rPr>
            </w:pPr>
            <w:r>
              <w:rPr>
                <w:rFonts w:hint="eastAsia"/>
                <w:color w:val="000000"/>
                <w:sz w:val="22"/>
                <w:szCs w:val="22"/>
              </w:rPr>
              <w:t>19.96</w:t>
            </w:r>
          </w:p>
        </w:tc>
        <w:tc>
          <w:tcPr>
            <w:tcW w:w="992" w:type="dxa"/>
            <w:vAlign w:val="center"/>
          </w:tcPr>
          <w:p>
            <w:pPr>
              <w:jc w:val="center"/>
              <w:rPr>
                <w:rFonts w:cs="宋体"/>
                <w:color w:val="000000"/>
                <w:sz w:val="22"/>
                <w:szCs w:val="22"/>
              </w:rPr>
            </w:pPr>
            <w:r>
              <w:rPr>
                <w:rFonts w:hint="eastAsia"/>
                <w:color w:val="000000"/>
                <w:sz w:val="22"/>
                <w:szCs w:val="22"/>
              </w:rPr>
              <w:t xml:space="preserve">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6</w:t>
            </w:r>
          </w:p>
        </w:tc>
        <w:tc>
          <w:tcPr>
            <w:tcW w:w="1701" w:type="dxa"/>
            <w:vAlign w:val="center"/>
          </w:tcPr>
          <w:p>
            <w:pPr>
              <w:tabs>
                <w:tab w:val="left" w:pos="8640"/>
              </w:tabs>
              <w:spacing w:line="300" w:lineRule="exact"/>
              <w:jc w:val="center"/>
              <w:rPr>
                <w:rFonts w:eastAsia="仿宋_GB2312"/>
                <w:sz w:val="24"/>
              </w:rPr>
            </w:pPr>
            <w:r>
              <w:rPr>
                <w:rFonts w:eastAsia="仿宋_GB2312"/>
                <w:sz w:val="24"/>
              </w:rPr>
              <w:t>城市建设及基础设施项目</w:t>
            </w:r>
          </w:p>
        </w:tc>
        <w:tc>
          <w:tcPr>
            <w:tcW w:w="851" w:type="dxa"/>
            <w:vAlign w:val="center"/>
          </w:tcPr>
          <w:p>
            <w:pPr>
              <w:jc w:val="center"/>
              <w:rPr>
                <w:rFonts w:eastAsia="仿宋_GB2312"/>
                <w:sz w:val="24"/>
              </w:rPr>
            </w:pPr>
            <w:r>
              <w:rPr>
                <w:rFonts w:eastAsia="仿宋_GB2312"/>
                <w:sz w:val="24"/>
              </w:rPr>
              <w:t>95</w:t>
            </w:r>
          </w:p>
        </w:tc>
        <w:tc>
          <w:tcPr>
            <w:tcW w:w="1134" w:type="dxa"/>
            <w:vAlign w:val="center"/>
          </w:tcPr>
          <w:p>
            <w:pPr>
              <w:jc w:val="center"/>
              <w:rPr>
                <w:rFonts w:eastAsia="仿宋_GB2312"/>
                <w:sz w:val="24"/>
              </w:rPr>
            </w:pPr>
            <w:r>
              <w:rPr>
                <w:rFonts w:eastAsia="仿宋_GB2312"/>
                <w:sz w:val="24"/>
              </w:rPr>
              <w:t>196.08</w:t>
            </w:r>
          </w:p>
        </w:tc>
        <w:tc>
          <w:tcPr>
            <w:tcW w:w="992" w:type="dxa"/>
            <w:vAlign w:val="center"/>
          </w:tcPr>
          <w:p>
            <w:pPr>
              <w:jc w:val="center"/>
              <w:rPr>
                <w:rFonts w:eastAsia="仿宋_GB2312"/>
                <w:sz w:val="24"/>
              </w:rPr>
            </w:pPr>
            <w:r>
              <w:rPr>
                <w:rFonts w:hint="eastAsia" w:eastAsia="仿宋_GB2312"/>
                <w:sz w:val="24"/>
              </w:rPr>
              <w:t>199.12</w:t>
            </w:r>
          </w:p>
        </w:tc>
        <w:tc>
          <w:tcPr>
            <w:tcW w:w="992" w:type="dxa"/>
            <w:vAlign w:val="center"/>
          </w:tcPr>
          <w:p>
            <w:pPr>
              <w:jc w:val="center"/>
              <w:rPr>
                <w:rFonts w:eastAsia="仿宋_GB2312"/>
                <w:sz w:val="24"/>
              </w:rPr>
            </w:pPr>
            <w:r>
              <w:rPr>
                <w:rFonts w:hint="eastAsia" w:eastAsia="仿宋_GB2312"/>
                <w:sz w:val="24"/>
              </w:rPr>
              <w:t xml:space="preserve">101.5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27.8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60</w:t>
            </w:r>
          </w:p>
        </w:tc>
        <w:tc>
          <w:tcPr>
            <w:tcW w:w="992" w:type="dxa"/>
            <w:vAlign w:val="center"/>
          </w:tcPr>
          <w:p>
            <w:pPr>
              <w:jc w:val="right"/>
              <w:rPr>
                <w:rFonts w:cs="宋体"/>
                <w:color w:val="000000"/>
                <w:sz w:val="22"/>
                <w:szCs w:val="22"/>
              </w:rPr>
            </w:pPr>
            <w:r>
              <w:rPr>
                <w:rFonts w:hint="eastAsia"/>
                <w:color w:val="000000"/>
                <w:sz w:val="22"/>
                <w:szCs w:val="22"/>
              </w:rPr>
              <w:t>177.96</w:t>
            </w:r>
          </w:p>
        </w:tc>
        <w:tc>
          <w:tcPr>
            <w:tcW w:w="992" w:type="dxa"/>
            <w:vAlign w:val="center"/>
          </w:tcPr>
          <w:p>
            <w:pPr>
              <w:jc w:val="center"/>
              <w:rPr>
                <w:rFonts w:cs="宋体"/>
                <w:color w:val="000000"/>
                <w:sz w:val="22"/>
                <w:szCs w:val="22"/>
              </w:rPr>
            </w:pPr>
            <w:r>
              <w:rPr>
                <w:rFonts w:hint="eastAsia"/>
                <w:color w:val="000000"/>
                <w:sz w:val="22"/>
                <w:szCs w:val="22"/>
              </w:rPr>
              <w:t xml:space="preserve">102.5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7</w:t>
            </w:r>
          </w:p>
        </w:tc>
        <w:tc>
          <w:tcPr>
            <w:tcW w:w="1701" w:type="dxa"/>
            <w:vAlign w:val="center"/>
          </w:tcPr>
          <w:p>
            <w:pPr>
              <w:tabs>
                <w:tab w:val="left" w:pos="8640"/>
              </w:tabs>
              <w:spacing w:line="300" w:lineRule="exact"/>
              <w:jc w:val="center"/>
              <w:rPr>
                <w:rFonts w:eastAsia="仿宋_GB2312"/>
                <w:sz w:val="24"/>
              </w:rPr>
            </w:pPr>
            <w:r>
              <w:rPr>
                <w:rFonts w:eastAsia="仿宋_GB2312"/>
                <w:sz w:val="24"/>
              </w:rPr>
              <w:t>服务业项目</w:t>
            </w:r>
          </w:p>
        </w:tc>
        <w:tc>
          <w:tcPr>
            <w:tcW w:w="851" w:type="dxa"/>
            <w:vAlign w:val="center"/>
          </w:tcPr>
          <w:p>
            <w:pPr>
              <w:jc w:val="center"/>
              <w:rPr>
                <w:rFonts w:eastAsia="仿宋_GB2312"/>
                <w:sz w:val="24"/>
              </w:rPr>
            </w:pPr>
            <w:r>
              <w:rPr>
                <w:rFonts w:eastAsia="仿宋_GB2312"/>
                <w:sz w:val="24"/>
              </w:rPr>
              <w:t>59</w:t>
            </w:r>
          </w:p>
        </w:tc>
        <w:tc>
          <w:tcPr>
            <w:tcW w:w="1134" w:type="dxa"/>
            <w:vAlign w:val="center"/>
          </w:tcPr>
          <w:p>
            <w:pPr>
              <w:jc w:val="center"/>
              <w:rPr>
                <w:rFonts w:eastAsia="仿宋_GB2312"/>
                <w:sz w:val="24"/>
              </w:rPr>
            </w:pPr>
            <w:r>
              <w:rPr>
                <w:rFonts w:eastAsia="仿宋_GB2312"/>
                <w:sz w:val="24"/>
              </w:rPr>
              <w:t>126.00</w:t>
            </w:r>
          </w:p>
        </w:tc>
        <w:tc>
          <w:tcPr>
            <w:tcW w:w="992" w:type="dxa"/>
            <w:vAlign w:val="center"/>
          </w:tcPr>
          <w:p>
            <w:pPr>
              <w:jc w:val="center"/>
              <w:rPr>
                <w:rFonts w:eastAsia="仿宋_GB2312"/>
                <w:sz w:val="24"/>
              </w:rPr>
            </w:pPr>
            <w:r>
              <w:rPr>
                <w:rFonts w:hint="eastAsia" w:eastAsia="仿宋_GB2312"/>
                <w:sz w:val="24"/>
              </w:rPr>
              <w:t>117.33</w:t>
            </w:r>
          </w:p>
        </w:tc>
        <w:tc>
          <w:tcPr>
            <w:tcW w:w="992" w:type="dxa"/>
            <w:vAlign w:val="center"/>
          </w:tcPr>
          <w:p>
            <w:pPr>
              <w:jc w:val="center"/>
              <w:rPr>
                <w:rFonts w:eastAsia="仿宋_GB2312"/>
                <w:sz w:val="24"/>
              </w:rPr>
            </w:pPr>
            <w:r>
              <w:rPr>
                <w:rFonts w:hint="eastAsia" w:eastAsia="仿宋_GB2312"/>
                <w:sz w:val="24"/>
              </w:rPr>
              <w:t xml:space="preserve">93.1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16.4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42</w:t>
            </w:r>
          </w:p>
        </w:tc>
        <w:tc>
          <w:tcPr>
            <w:tcW w:w="992" w:type="dxa"/>
            <w:shd w:val="clear" w:color="auto" w:fill="auto"/>
            <w:vAlign w:val="center"/>
          </w:tcPr>
          <w:p>
            <w:pPr>
              <w:jc w:val="right"/>
              <w:rPr>
                <w:rFonts w:cs="宋体"/>
                <w:color w:val="000000"/>
                <w:sz w:val="22"/>
                <w:szCs w:val="22"/>
              </w:rPr>
            </w:pPr>
            <w:r>
              <w:rPr>
                <w:rFonts w:hint="eastAsia"/>
                <w:color w:val="000000"/>
                <w:sz w:val="22"/>
                <w:szCs w:val="22"/>
              </w:rPr>
              <w:t>106.99</w:t>
            </w:r>
          </w:p>
        </w:tc>
        <w:tc>
          <w:tcPr>
            <w:tcW w:w="992" w:type="dxa"/>
            <w:shd w:val="clear" w:color="auto" w:fill="auto"/>
            <w:vAlign w:val="center"/>
          </w:tcPr>
          <w:p>
            <w:pPr>
              <w:jc w:val="center"/>
              <w:rPr>
                <w:rFonts w:cs="宋体"/>
                <w:color w:val="000000"/>
                <w:sz w:val="22"/>
                <w:szCs w:val="22"/>
              </w:rPr>
            </w:pPr>
            <w:r>
              <w:rPr>
                <w:rFonts w:hint="eastAsia"/>
                <w:color w:val="000000"/>
                <w:sz w:val="22"/>
                <w:szCs w:val="22"/>
              </w:rPr>
              <w:t xml:space="preserve">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10" w:type="dxa"/>
            <w:gridSpan w:val="2"/>
            <w:shd w:val="clear" w:color="auto" w:fill="auto"/>
            <w:vAlign w:val="center"/>
          </w:tcPr>
          <w:p>
            <w:pPr>
              <w:tabs>
                <w:tab w:val="left" w:pos="8640"/>
              </w:tabs>
              <w:spacing w:line="300" w:lineRule="exact"/>
              <w:jc w:val="center"/>
              <w:rPr>
                <w:rFonts w:eastAsia="仿宋_GB2312"/>
                <w:b/>
                <w:sz w:val="24"/>
              </w:rPr>
            </w:pPr>
            <w:r>
              <w:rPr>
                <w:rFonts w:eastAsia="仿宋_GB2312"/>
                <w:b/>
                <w:sz w:val="24"/>
              </w:rPr>
              <w:t>合计</w:t>
            </w:r>
          </w:p>
        </w:tc>
        <w:tc>
          <w:tcPr>
            <w:tcW w:w="851" w:type="dxa"/>
            <w:shd w:val="clear" w:color="auto" w:fill="auto"/>
            <w:vAlign w:val="center"/>
          </w:tcPr>
          <w:p>
            <w:pPr>
              <w:jc w:val="center"/>
              <w:rPr>
                <w:rFonts w:eastAsia="仿宋_GB2312"/>
                <w:b/>
                <w:sz w:val="24"/>
              </w:rPr>
            </w:pPr>
            <w:r>
              <w:rPr>
                <w:rFonts w:eastAsia="仿宋_GB2312"/>
                <w:b/>
                <w:sz w:val="24"/>
              </w:rPr>
              <w:t>356</w:t>
            </w:r>
          </w:p>
        </w:tc>
        <w:tc>
          <w:tcPr>
            <w:tcW w:w="1134" w:type="dxa"/>
            <w:shd w:val="clear" w:color="auto" w:fill="auto"/>
            <w:vAlign w:val="center"/>
          </w:tcPr>
          <w:p>
            <w:pPr>
              <w:jc w:val="center"/>
              <w:rPr>
                <w:rFonts w:eastAsia="仿宋_GB2312"/>
                <w:b/>
                <w:sz w:val="24"/>
              </w:rPr>
            </w:pPr>
            <w:r>
              <w:rPr>
                <w:rFonts w:eastAsia="仿宋_GB2312"/>
                <w:b/>
                <w:sz w:val="24"/>
              </w:rPr>
              <w:t>831.17</w:t>
            </w:r>
          </w:p>
        </w:tc>
        <w:tc>
          <w:tcPr>
            <w:tcW w:w="992" w:type="dxa"/>
            <w:shd w:val="clear" w:color="auto" w:fill="auto"/>
            <w:vAlign w:val="center"/>
          </w:tcPr>
          <w:p>
            <w:pPr>
              <w:jc w:val="center"/>
              <w:rPr>
                <w:rFonts w:eastAsia="仿宋_GB2312"/>
                <w:b/>
                <w:sz w:val="24"/>
              </w:rPr>
            </w:pPr>
            <w:r>
              <w:rPr>
                <w:rFonts w:hint="eastAsia" w:eastAsia="仿宋_GB2312"/>
                <w:b/>
                <w:sz w:val="24"/>
              </w:rPr>
              <w:t>715.37</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86.1</w:t>
            </w:r>
          </w:p>
        </w:tc>
        <w:tc>
          <w:tcPr>
            <w:tcW w:w="709" w:type="dxa"/>
            <w:tcBorders>
              <w:right w:val="double" w:color="auto" w:sz="4" w:space="0"/>
            </w:tcBorders>
            <w:shd w:val="clear" w:color="auto" w:fill="auto"/>
            <w:vAlign w:val="center"/>
          </w:tcPr>
          <w:p>
            <w:pPr>
              <w:tabs>
                <w:tab w:val="left" w:pos="8640"/>
              </w:tabs>
              <w:spacing w:line="300" w:lineRule="exact"/>
              <w:jc w:val="center"/>
              <w:rPr>
                <w:rFonts w:eastAsia="仿宋_GB2312"/>
                <w:b/>
                <w:sz w:val="24"/>
              </w:rPr>
            </w:pPr>
            <w:r>
              <w:rPr>
                <w:rFonts w:eastAsia="仿宋_GB2312"/>
                <w:b/>
                <w:sz w:val="24"/>
              </w:rPr>
              <w:t>100</w:t>
            </w:r>
          </w:p>
        </w:tc>
        <w:tc>
          <w:tcPr>
            <w:tcW w:w="709" w:type="dxa"/>
            <w:tcBorders>
              <w:left w:val="double" w:color="auto" w:sz="4" w:space="0"/>
            </w:tcBorders>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223</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630.15 </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85.7 </w:t>
            </w:r>
          </w:p>
        </w:tc>
      </w:tr>
    </w:tbl>
    <w:p>
      <w:pPr>
        <w:tabs>
          <w:tab w:val="left" w:pos="8640"/>
        </w:tabs>
        <w:spacing w:line="600" w:lineRule="exact"/>
        <w:rPr>
          <w:rFonts w:eastAsia="仿宋_GB2312"/>
          <w:sz w:val="32"/>
          <w:szCs w:val="32"/>
        </w:rPr>
      </w:pPr>
      <w:r>
        <w:rPr>
          <w:rFonts w:eastAsia="仿宋_GB2312"/>
          <w:sz w:val="32"/>
          <w:szCs w:val="32"/>
        </w:rPr>
        <w:br w:type="page"/>
      </w:r>
    </w:p>
    <w:p>
      <w:pPr>
        <w:tabs>
          <w:tab w:val="left" w:pos="8640"/>
        </w:tabs>
        <w:spacing w:line="500" w:lineRule="exact"/>
        <w:ind w:right="480"/>
        <w:jc w:val="left"/>
        <w:rPr>
          <w:rFonts w:eastAsia="黑体"/>
          <w:sz w:val="36"/>
          <w:szCs w:val="36"/>
        </w:rPr>
      </w:pPr>
      <w:r>
        <w:rPr>
          <w:rFonts w:hint="eastAsia" w:eastAsia="黑体"/>
          <w:sz w:val="32"/>
          <w:szCs w:val="32"/>
        </w:rPr>
        <w:t>附件2</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2018年市重点建设项目分区域完成情况表</w:t>
      </w:r>
      <w:r>
        <w:rPr>
          <w:rFonts w:hint="eastAsia" w:eastAsia="楷体_GB2312"/>
          <w:sz w:val="32"/>
          <w:szCs w:val="32"/>
        </w:rPr>
        <w:t>（1-9月）</w:t>
      </w:r>
    </w:p>
    <w:p>
      <w:pPr>
        <w:tabs>
          <w:tab w:val="left" w:pos="8640"/>
        </w:tabs>
        <w:spacing w:line="500" w:lineRule="exact"/>
        <w:ind w:firstLine="7560" w:firstLineChars="3150"/>
        <w:rPr>
          <w:rFonts w:eastAsia="楷体_GB2312"/>
          <w:sz w:val="24"/>
        </w:rPr>
      </w:pPr>
      <w:r>
        <w:rPr>
          <w:rFonts w:hint="eastAsia" w:eastAsia="楷体_GB2312"/>
          <w:sz w:val="24"/>
        </w:rPr>
        <w:t>单位：亿元、%</w:t>
      </w:r>
    </w:p>
    <w:tbl>
      <w:tblPr>
        <w:tblStyle w:val="8"/>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16"/>
        <w:gridCol w:w="1701"/>
        <w:gridCol w:w="1701"/>
        <w:gridCol w:w="184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sz w:val="24"/>
              </w:rPr>
            </w:pPr>
            <w:r>
              <w:rPr>
                <w:rFonts w:eastAsia="黑体"/>
                <w:sz w:val="24"/>
              </w:rPr>
              <w:t>序号</w:t>
            </w:r>
          </w:p>
        </w:tc>
        <w:tc>
          <w:tcPr>
            <w:tcW w:w="1416" w:type="dxa"/>
            <w:tcBorders>
              <w:left w:val="single" w:color="auto" w:sz="4" w:space="0"/>
              <w:right w:val="single" w:color="auto" w:sz="4" w:space="0"/>
            </w:tcBorders>
            <w:vAlign w:val="center"/>
          </w:tcPr>
          <w:p>
            <w:pPr>
              <w:jc w:val="center"/>
              <w:rPr>
                <w:rFonts w:eastAsia="黑体"/>
                <w:sz w:val="24"/>
              </w:rPr>
            </w:pPr>
            <w:r>
              <w:rPr>
                <w:rFonts w:eastAsia="黑体"/>
                <w:sz w:val="24"/>
              </w:rPr>
              <w:t>责任单位</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项目个数</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年度计划投资</w:t>
            </w:r>
          </w:p>
        </w:tc>
        <w:tc>
          <w:tcPr>
            <w:tcW w:w="1843"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完成投资</w:t>
            </w:r>
          </w:p>
        </w:tc>
        <w:tc>
          <w:tcPr>
            <w:tcW w:w="1775"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鹿城区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36.39</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45.72</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龙湾区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81.40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81.97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瓯海区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37.10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33.17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4</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洞头区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13.23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12.00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5</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乐清市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57.95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瑞安市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49.62</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55.66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永嘉县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67.61</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59.20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文成县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15.53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12.25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平阳县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32.30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29.01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泰顺县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11.98</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10.71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苍南县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40.20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38.21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瓯江口</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22.80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17.66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浙南</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16.74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hint="eastAsia" w:eastAsia="仿宋_GB2312"/>
                <w:spacing w:val="-20"/>
                <w:sz w:val="24"/>
              </w:rPr>
              <w:t>县（市、区）小计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297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487.16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470.25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eastAsia="仿宋_GB2312"/>
                <w:sz w:val="24"/>
              </w:rPr>
              <w:t>市直单位</w:t>
            </w:r>
            <w:r>
              <w:rPr>
                <w:rFonts w:hint="eastAsia" w:eastAsia="仿宋_GB2312"/>
                <w:sz w:val="24"/>
              </w:rPr>
              <w:t>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59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344.01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245.12</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sz w:val="24"/>
              </w:rPr>
            </w:pPr>
            <w:r>
              <w:rPr>
                <w:rFonts w:hint="eastAsia" w:eastAsia="仿宋_GB2312"/>
                <w:b/>
                <w:sz w:val="24"/>
              </w:rPr>
              <w:t>全市</w:t>
            </w:r>
            <w:r>
              <w:rPr>
                <w:rFonts w:eastAsia="仿宋_GB2312"/>
                <w:b/>
                <w:sz w:val="24"/>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356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831.17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715.37</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 xml:space="preserve">86.1 </w:t>
            </w:r>
          </w:p>
        </w:tc>
      </w:tr>
    </w:tbl>
    <w:p>
      <w:pPr>
        <w:tabs>
          <w:tab w:val="left" w:pos="8640"/>
        </w:tabs>
        <w:spacing w:line="500" w:lineRule="exact"/>
        <w:ind w:firstLine="7560" w:firstLineChars="3150"/>
        <w:rPr>
          <w:rFonts w:eastAsia="楷体_GB2312"/>
          <w:sz w:val="24"/>
        </w:rPr>
      </w:pPr>
    </w:p>
    <w:p>
      <w:pPr>
        <w:snapToGrid w:val="0"/>
        <w:spacing w:line="360" w:lineRule="exact"/>
        <w:rPr>
          <w:rFonts w:eastAsia="黑体"/>
          <w:sz w:val="32"/>
          <w:szCs w:val="32"/>
        </w:rPr>
      </w:pPr>
      <w:r>
        <w:rPr>
          <w:rFonts w:eastAsia="黑体"/>
          <w:sz w:val="32"/>
          <w:szCs w:val="32"/>
        </w:rPr>
        <w:br w:type="page"/>
      </w:r>
      <w:r>
        <w:rPr>
          <w:rFonts w:hint="eastAsia" w:eastAsia="黑体"/>
          <w:sz w:val="32"/>
          <w:szCs w:val="32"/>
        </w:rPr>
        <w:t>附件3</w:t>
      </w:r>
    </w:p>
    <w:p>
      <w:pPr>
        <w:tabs>
          <w:tab w:val="left" w:pos="8640"/>
        </w:tabs>
        <w:spacing w:beforeLines="50" w:line="600" w:lineRule="exact"/>
        <w:jc w:val="center"/>
        <w:rPr>
          <w:rFonts w:eastAsia="方正小标宋简体"/>
          <w:sz w:val="44"/>
          <w:szCs w:val="44"/>
        </w:rPr>
      </w:pPr>
      <w:r>
        <w:rPr>
          <w:rFonts w:hint="eastAsia" w:eastAsia="方正小标宋简体"/>
          <w:spacing w:val="-20"/>
          <w:sz w:val="36"/>
          <w:szCs w:val="36"/>
        </w:rPr>
        <w:t>2018年5亿元以上重大项目</w:t>
      </w:r>
      <w:r>
        <w:rPr>
          <w:rFonts w:eastAsia="方正小标宋简体"/>
          <w:spacing w:val="-20"/>
          <w:sz w:val="36"/>
          <w:szCs w:val="36"/>
        </w:rPr>
        <w:t>分区域完成情况表</w:t>
      </w:r>
      <w:r>
        <w:rPr>
          <w:rFonts w:hint="eastAsia" w:eastAsia="楷体_GB2312"/>
          <w:sz w:val="32"/>
          <w:szCs w:val="32"/>
        </w:rPr>
        <w:t>（1-9月）</w:t>
      </w:r>
    </w:p>
    <w:p>
      <w:pPr>
        <w:tabs>
          <w:tab w:val="left" w:pos="8640"/>
        </w:tabs>
        <w:spacing w:line="500" w:lineRule="exact"/>
        <w:ind w:firstLine="7560" w:firstLineChars="3150"/>
        <w:rPr>
          <w:rFonts w:eastAsia="楷体_GB2312"/>
          <w:sz w:val="24"/>
        </w:rPr>
      </w:pPr>
      <w:r>
        <w:rPr>
          <w:rFonts w:eastAsia="楷体_GB2312"/>
          <w:sz w:val="24"/>
        </w:rPr>
        <w:t>单位：亿元、%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44"/>
        <w:gridCol w:w="851"/>
        <w:gridCol w:w="851"/>
        <w:gridCol w:w="691"/>
        <w:gridCol w:w="850"/>
        <w:gridCol w:w="851"/>
        <w:gridCol w:w="910"/>
        <w:gridCol w:w="933"/>
        <w:gridCol w:w="99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restart"/>
            <w:tcBorders>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单位</w:t>
            </w:r>
          </w:p>
        </w:tc>
        <w:tc>
          <w:tcPr>
            <w:tcW w:w="744"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项目个数</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年度计划投资</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691" w:type="dxa"/>
            <w:vMerge w:val="restart"/>
            <w:tcBorders>
              <w:top w:val="single" w:color="auto" w:sz="4" w:space="0"/>
              <w:left w:val="single" w:color="auto" w:sz="4" w:space="0"/>
              <w:right w:val="single" w:color="auto" w:sz="12" w:space="0"/>
            </w:tcBorders>
            <w:vAlign w:val="center"/>
          </w:tcPr>
          <w:p>
            <w:pPr>
              <w:spacing w:line="240" w:lineRule="exact"/>
              <w:jc w:val="center"/>
              <w:rPr>
                <w:rFonts w:eastAsia="黑体"/>
                <w:szCs w:val="21"/>
              </w:rPr>
            </w:pPr>
            <w:r>
              <w:rPr>
                <w:rFonts w:eastAsia="黑体"/>
                <w:szCs w:val="21"/>
              </w:rPr>
              <w:t>投资完成率</w:t>
            </w:r>
          </w:p>
        </w:tc>
        <w:tc>
          <w:tcPr>
            <w:tcW w:w="5446" w:type="dxa"/>
            <w:gridSpan w:val="6"/>
            <w:tcBorders>
              <w:top w:val="single" w:color="auto" w:sz="4" w:space="0"/>
              <w:left w:val="single" w:color="auto" w:sz="12" w:space="0"/>
              <w:right w:val="single" w:color="auto" w:sz="4" w:space="0"/>
            </w:tcBorders>
            <w:vAlign w:val="center"/>
          </w:tcPr>
          <w:p>
            <w:pPr>
              <w:spacing w:line="240" w:lineRule="exact"/>
              <w:jc w:val="center"/>
              <w:rPr>
                <w:rFonts w:eastAsia="黑体"/>
                <w:szCs w:val="21"/>
              </w:rPr>
            </w:pPr>
            <w:r>
              <w:rPr>
                <w:rFonts w:hint="eastAsia" w:eastAsia="黑体"/>
                <w:szCs w:val="21"/>
              </w:rPr>
              <w:t>重大产业项目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tcBorders>
              <w:left w:val="single" w:color="auto" w:sz="4" w:space="0"/>
              <w:right w:val="single" w:color="auto" w:sz="4" w:space="0"/>
            </w:tcBorders>
            <w:vAlign w:val="center"/>
          </w:tcPr>
          <w:p>
            <w:pPr>
              <w:spacing w:line="240" w:lineRule="exact"/>
              <w:jc w:val="center"/>
              <w:rPr>
                <w:rFonts w:eastAsia="黑体"/>
                <w:szCs w:val="21"/>
              </w:rPr>
            </w:pPr>
          </w:p>
        </w:tc>
        <w:tc>
          <w:tcPr>
            <w:tcW w:w="744" w:type="dxa"/>
            <w:vMerge w:val="continue"/>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p>
        </w:tc>
        <w:tc>
          <w:tcPr>
            <w:tcW w:w="851" w:type="dxa"/>
            <w:vMerge w:val="continue"/>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p>
        </w:tc>
        <w:tc>
          <w:tcPr>
            <w:tcW w:w="851" w:type="dxa"/>
            <w:vMerge w:val="continue"/>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p>
        </w:tc>
        <w:tc>
          <w:tcPr>
            <w:tcW w:w="691" w:type="dxa"/>
            <w:vMerge w:val="continue"/>
            <w:tcBorders>
              <w:top w:val="single" w:color="auto" w:sz="4" w:space="0"/>
              <w:left w:val="single" w:color="auto" w:sz="4" w:space="0"/>
              <w:right w:val="single" w:color="auto" w:sz="12" w:space="0"/>
            </w:tcBorders>
            <w:vAlign w:val="center"/>
          </w:tcPr>
          <w:p>
            <w:pPr>
              <w:spacing w:line="240" w:lineRule="exact"/>
              <w:jc w:val="center"/>
              <w:rPr>
                <w:rFonts w:eastAsia="黑体"/>
                <w:szCs w:val="21"/>
              </w:rPr>
            </w:pPr>
          </w:p>
        </w:tc>
        <w:tc>
          <w:tcPr>
            <w:tcW w:w="850" w:type="dxa"/>
            <w:vMerge w:val="restart"/>
            <w:tcBorders>
              <w:top w:val="single" w:color="auto" w:sz="4" w:space="0"/>
              <w:left w:val="single" w:color="auto" w:sz="12" w:space="0"/>
              <w:right w:val="single" w:color="auto" w:sz="4" w:space="0"/>
            </w:tcBorders>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hint="eastAsia" w:eastAsia="黑体"/>
                <w:szCs w:val="21"/>
              </w:rPr>
              <w:t>完成率</w:t>
            </w:r>
          </w:p>
        </w:tc>
        <w:tc>
          <w:tcPr>
            <w:tcW w:w="1843" w:type="dxa"/>
            <w:gridSpan w:val="2"/>
            <w:tcBorders>
              <w:top w:val="single" w:color="auto" w:sz="4" w:space="0"/>
              <w:left w:val="single" w:color="auto" w:sz="4" w:space="0"/>
              <w:right w:val="single" w:color="auto" w:sz="4" w:space="0"/>
            </w:tcBorders>
            <w:vAlign w:val="center"/>
          </w:tcPr>
          <w:p>
            <w:pPr>
              <w:spacing w:line="240" w:lineRule="exact"/>
              <w:jc w:val="center"/>
              <w:rPr>
                <w:rFonts w:eastAsia="仿宋_GB2312"/>
                <w:szCs w:val="21"/>
              </w:rPr>
            </w:pPr>
            <w:r>
              <w:rPr>
                <w:rFonts w:hint="eastAsia" w:eastAsia="仿宋_GB2312"/>
                <w:szCs w:val="21"/>
              </w:rPr>
              <w:t>工业项目</w:t>
            </w:r>
          </w:p>
        </w:tc>
        <w:tc>
          <w:tcPr>
            <w:tcW w:w="1902" w:type="dxa"/>
            <w:gridSpan w:val="2"/>
            <w:tcBorders>
              <w:top w:val="single" w:color="auto" w:sz="4" w:space="0"/>
              <w:left w:val="single" w:color="auto" w:sz="4" w:space="0"/>
              <w:right w:val="single" w:color="auto" w:sz="4" w:space="0"/>
            </w:tcBorders>
            <w:vAlign w:val="center"/>
          </w:tcPr>
          <w:p>
            <w:pPr>
              <w:spacing w:line="240" w:lineRule="exact"/>
              <w:jc w:val="center"/>
              <w:rPr>
                <w:rFonts w:eastAsia="仿宋_GB2312"/>
                <w:szCs w:val="21"/>
              </w:rPr>
            </w:pPr>
            <w:r>
              <w:rPr>
                <w:rFonts w:hint="eastAsia" w:eastAsia="仿宋_GB2312"/>
                <w:szCs w:val="21"/>
              </w:rPr>
              <w:t>服务业项目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tcBorders>
              <w:left w:val="single" w:color="auto" w:sz="4" w:space="0"/>
              <w:right w:val="single" w:color="auto" w:sz="4" w:space="0"/>
            </w:tcBorders>
            <w:vAlign w:val="center"/>
          </w:tcPr>
          <w:p>
            <w:pPr>
              <w:spacing w:line="240" w:lineRule="exact"/>
              <w:jc w:val="center"/>
              <w:rPr>
                <w:rFonts w:eastAsia="黑体"/>
                <w:sz w:val="24"/>
              </w:rPr>
            </w:pPr>
          </w:p>
        </w:tc>
        <w:tc>
          <w:tcPr>
            <w:tcW w:w="744"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黑体"/>
                <w:sz w:val="24"/>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p>
        </w:tc>
        <w:tc>
          <w:tcPr>
            <w:tcW w:w="691" w:type="dxa"/>
            <w:vMerge w:val="continue"/>
            <w:tcBorders>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p>
        </w:tc>
        <w:tc>
          <w:tcPr>
            <w:tcW w:w="850" w:type="dxa"/>
            <w:vMerge w:val="continue"/>
            <w:tcBorders>
              <w:left w:val="single" w:color="auto" w:sz="12" w:space="0"/>
              <w:bottom w:val="single" w:color="auto" w:sz="4" w:space="0"/>
              <w:right w:val="single" w:color="auto" w:sz="4" w:space="0"/>
            </w:tcBorders>
            <w:vAlign w:val="center"/>
          </w:tcPr>
          <w:p>
            <w:pPr>
              <w:spacing w:line="240" w:lineRule="exact"/>
              <w:jc w:val="center"/>
              <w:rPr>
                <w:rFonts w:eastAsia="黑体"/>
                <w:szCs w:val="21"/>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黑体"/>
                <w:szCs w:val="21"/>
              </w:rPr>
            </w:pPr>
          </w:p>
        </w:tc>
        <w:tc>
          <w:tcPr>
            <w:tcW w:w="910"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33"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完成率</w:t>
            </w:r>
          </w:p>
        </w:tc>
        <w:tc>
          <w:tcPr>
            <w:tcW w:w="992"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10"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鹿城区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30.26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41.23</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136.3</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6.73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125.8</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6.73</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龙湾区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75.80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77.62</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102.4</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23.97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6.06</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80.8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17.91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瓯海区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22.90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19.61</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85.6</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4.17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洞头区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5.90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4.77</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80.9</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2.47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82.2</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2.47</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82.2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乐清市</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52.10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50.91</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97.7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37.84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94.6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13.07</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93.4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24.77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瑞安市</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38.25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45.15</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118.0</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19.52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90.8</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11.66</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79.3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永嘉县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64.30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57.06</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88.7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30.19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95.9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1.14</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29.05</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文成县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12.90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9.92</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76.9</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4.72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109.9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4.72</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平阳县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24.20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21.16</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87.5</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2.67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74.1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0.68</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113.4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1.99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泰顺县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8.60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8.06</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93.7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0.46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92.6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0.46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苍南县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38.60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36.57</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94.7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18.75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125.9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13.57</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120.1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5.18</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瓯江口</w:t>
            </w:r>
          </w:p>
          <w:p>
            <w:pPr>
              <w:spacing w:line="240" w:lineRule="exact"/>
              <w:jc w:val="center"/>
              <w:rPr>
                <w:rFonts w:eastAsia="仿宋_GB2312"/>
                <w:szCs w:val="21"/>
              </w:rPr>
            </w:pPr>
            <w:r>
              <w:rPr>
                <w:rFonts w:eastAsia="仿宋_GB2312"/>
                <w:szCs w:val="21"/>
              </w:rPr>
              <w:t>集聚区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20.30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16.08</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79.2</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7.44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114.4</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7.44</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114.4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浙南</w:t>
            </w:r>
          </w:p>
          <w:p>
            <w:pPr>
              <w:spacing w:line="240" w:lineRule="exact"/>
              <w:jc w:val="center"/>
              <w:rPr>
                <w:rFonts w:eastAsia="仿宋_GB2312"/>
                <w:szCs w:val="21"/>
              </w:rPr>
            </w:pPr>
            <w:r>
              <w:rPr>
                <w:rFonts w:eastAsia="仿宋_GB2312"/>
                <w:szCs w:val="21"/>
              </w:rPr>
              <w:t>集聚区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16.50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14.68</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89.0</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6.27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66.7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54.1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2.27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szCs w:val="21"/>
              </w:rPr>
            </w:pPr>
            <w:r>
              <w:rPr>
                <w:rFonts w:hint="eastAsia" w:eastAsia="仿宋_GB2312"/>
                <w:spacing w:val="-20"/>
                <w:szCs w:val="21"/>
              </w:rPr>
              <w:t>县（市、区）小计</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eastAsia="仿宋_GB2312"/>
                <w:kern w:val="0"/>
                <w:szCs w:val="21"/>
              </w:rPr>
              <w:t>181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410.61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402.83</w:t>
            </w:r>
          </w:p>
        </w:tc>
        <w:tc>
          <w:tcPr>
            <w:tcW w:w="691"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98.1</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165.21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93.7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60.10</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90.4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105.11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szCs w:val="21"/>
              </w:rPr>
            </w:pPr>
            <w:r>
              <w:rPr>
                <w:rFonts w:eastAsia="仿宋_GB2312"/>
                <w:szCs w:val="21"/>
              </w:rPr>
              <w:t>市直单位</w:t>
            </w:r>
            <w:r>
              <w:rPr>
                <w:rFonts w:hint="eastAsia" w:eastAsia="仿宋_GB2312"/>
                <w:szCs w:val="21"/>
              </w:rPr>
              <w:t>小计</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eastAsia="仿宋_GB2312"/>
                <w:kern w:val="0"/>
                <w:szCs w:val="21"/>
              </w:rPr>
              <w:t>42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325.10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227.32</w:t>
            </w:r>
          </w:p>
        </w:tc>
        <w:tc>
          <w:tcPr>
            <w:tcW w:w="691"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69.9</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1.87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87.2</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1.87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b/>
                <w:szCs w:val="21"/>
              </w:rPr>
            </w:pPr>
            <w:r>
              <w:rPr>
                <w:rFonts w:hint="eastAsia" w:eastAsia="仿宋_GB2312"/>
                <w:b/>
                <w:szCs w:val="21"/>
              </w:rPr>
              <w:t>全市</w:t>
            </w:r>
            <w:r>
              <w:rPr>
                <w:rFonts w:eastAsia="仿宋_GB2312"/>
                <w:b/>
                <w:szCs w:val="21"/>
              </w:rPr>
              <w:t>合计</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b/>
                <w:kern w:val="0"/>
                <w:szCs w:val="21"/>
              </w:rPr>
            </w:pPr>
            <w:r>
              <w:rPr>
                <w:rFonts w:eastAsia="仿宋_GB2312"/>
                <w:b/>
                <w:kern w:val="0"/>
                <w:szCs w:val="21"/>
              </w:rPr>
              <w:t>223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735.71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630.15</w:t>
            </w:r>
          </w:p>
        </w:tc>
        <w:tc>
          <w:tcPr>
            <w:tcW w:w="691"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85.7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167.08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93.6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60.1</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90.4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106.99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95.5</w:t>
            </w:r>
          </w:p>
        </w:tc>
      </w:tr>
    </w:tbl>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afterLines="50" w:line="360" w:lineRule="exact"/>
        <w:rPr>
          <w:rFonts w:eastAsia="黑体"/>
          <w:sz w:val="32"/>
          <w:szCs w:val="32"/>
        </w:rPr>
      </w:pPr>
      <w:r>
        <w:rPr>
          <w:rFonts w:hint="eastAsia" w:eastAsia="黑体"/>
          <w:sz w:val="32"/>
          <w:szCs w:val="32"/>
        </w:rPr>
        <w:t>附件4</w:t>
      </w:r>
    </w:p>
    <w:p>
      <w:pPr>
        <w:snapToGrid w:val="0"/>
        <w:spacing w:afterLines="50" w:line="440" w:lineRule="exact"/>
        <w:jc w:val="center"/>
        <w:rPr>
          <w:rFonts w:eastAsia="楷体_GB2312"/>
          <w:spacing w:val="-6"/>
          <w:sz w:val="32"/>
          <w:szCs w:val="32"/>
        </w:rPr>
      </w:pPr>
      <w:r>
        <w:rPr>
          <w:rFonts w:hint="eastAsia" w:eastAsia="方正小标宋简体"/>
          <w:spacing w:val="-6"/>
          <w:sz w:val="36"/>
          <w:szCs w:val="36"/>
        </w:rPr>
        <w:t>2018年市重点建设项目市直单位完成情况表</w:t>
      </w:r>
      <w:r>
        <w:rPr>
          <w:rFonts w:hint="eastAsia" w:eastAsia="楷体_GB2312"/>
          <w:sz w:val="32"/>
          <w:szCs w:val="32"/>
        </w:rPr>
        <w:t>（1-9月）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00" w:lineRule="exact"/>
              <w:jc w:val="center"/>
              <w:rPr>
                <w:rFonts w:eastAsia="黑体"/>
                <w:sz w:val="18"/>
                <w:szCs w:val="18"/>
              </w:rPr>
            </w:pPr>
            <w:r>
              <w:rPr>
                <w:rFonts w:hint="eastAsia" w:eastAsia="黑体"/>
                <w:sz w:val="18"/>
                <w:szCs w:val="18"/>
              </w:rPr>
              <w:t>单位</w:t>
            </w:r>
          </w:p>
        </w:tc>
        <w:tc>
          <w:tcPr>
            <w:tcW w:w="2444" w:type="dxa"/>
            <w:vAlign w:val="center"/>
          </w:tcPr>
          <w:p>
            <w:pPr>
              <w:spacing w:line="240" w:lineRule="exact"/>
              <w:jc w:val="center"/>
              <w:rPr>
                <w:rFonts w:eastAsia="黑体"/>
                <w:sz w:val="18"/>
                <w:szCs w:val="18"/>
              </w:rPr>
            </w:pPr>
            <w:r>
              <w:rPr>
                <w:rFonts w:hint="eastAsia" w:eastAsia="黑体"/>
                <w:sz w:val="18"/>
                <w:szCs w:val="18"/>
              </w:rPr>
              <w:t>项目名称</w:t>
            </w:r>
          </w:p>
        </w:tc>
        <w:tc>
          <w:tcPr>
            <w:tcW w:w="708"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6"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126"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5"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268"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00" w:lineRule="exact"/>
              <w:jc w:val="center"/>
              <w:rPr>
                <w:rFonts w:eastAsia="仿宋_GB2312"/>
                <w:szCs w:val="21"/>
              </w:rPr>
            </w:pPr>
            <w:r>
              <w:rPr>
                <w:rFonts w:hint="eastAsia" w:eastAsia="仿宋_GB2312"/>
                <w:szCs w:val="21"/>
              </w:rPr>
              <w:t>城投</w:t>
            </w:r>
          </w:p>
        </w:tc>
        <w:tc>
          <w:tcPr>
            <w:tcW w:w="2444" w:type="dxa"/>
            <w:vAlign w:val="center"/>
          </w:tcPr>
          <w:p>
            <w:pPr>
              <w:rPr>
                <w:rFonts w:eastAsia="仿宋_GB2312" w:cs="宋体"/>
                <w:szCs w:val="21"/>
              </w:rPr>
            </w:pPr>
            <w:r>
              <w:rPr>
                <w:rFonts w:hint="eastAsia" w:eastAsia="仿宋_GB2312" w:cs="宋体"/>
                <w:szCs w:val="21"/>
              </w:rPr>
              <w:t>宁波路二期</w:t>
            </w:r>
          </w:p>
        </w:tc>
        <w:tc>
          <w:tcPr>
            <w:tcW w:w="708" w:type="dxa"/>
            <w:tcBorders>
              <w:right w:val="double" w:color="auto" w:sz="4" w:space="0"/>
            </w:tcBorders>
            <w:vAlign w:val="center"/>
          </w:tcPr>
          <w:p>
            <w:pPr>
              <w:jc w:val="center"/>
              <w:rPr>
                <w:szCs w:val="21"/>
              </w:rPr>
            </w:pPr>
            <w:r>
              <w:rPr>
                <w:rFonts w:hint="eastAsia"/>
                <w:szCs w:val="21"/>
              </w:rPr>
              <w:t xml:space="preserve">120.5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铁投</w:t>
            </w:r>
          </w:p>
        </w:tc>
        <w:tc>
          <w:tcPr>
            <w:tcW w:w="2126" w:type="dxa"/>
            <w:vAlign w:val="center"/>
          </w:tcPr>
          <w:p>
            <w:pPr>
              <w:rPr>
                <w:rFonts w:eastAsia="仿宋_GB2312" w:cs="宋体"/>
                <w:szCs w:val="21"/>
              </w:rPr>
            </w:pPr>
            <w:r>
              <w:rPr>
                <w:rFonts w:hint="eastAsia" w:eastAsia="仿宋_GB2312" w:cs="宋体"/>
                <w:szCs w:val="21"/>
              </w:rPr>
              <w:t>温州市域铁路S1线一期工程</w:t>
            </w:r>
          </w:p>
        </w:tc>
        <w:tc>
          <w:tcPr>
            <w:tcW w:w="709" w:type="dxa"/>
            <w:tcBorders>
              <w:right w:val="double" w:color="auto" w:sz="4" w:space="0"/>
            </w:tcBorders>
            <w:vAlign w:val="center"/>
          </w:tcPr>
          <w:p>
            <w:pPr>
              <w:jc w:val="center"/>
              <w:rPr>
                <w:szCs w:val="21"/>
              </w:rPr>
            </w:pPr>
            <w:r>
              <w:rPr>
                <w:rFonts w:hint="eastAsia"/>
                <w:szCs w:val="21"/>
              </w:rPr>
              <w:t xml:space="preserve">82.1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生态园</w:t>
            </w:r>
          </w:p>
        </w:tc>
        <w:tc>
          <w:tcPr>
            <w:tcW w:w="2268" w:type="dxa"/>
            <w:vAlign w:val="center"/>
          </w:tcPr>
          <w:p>
            <w:pPr>
              <w:rPr>
                <w:rFonts w:eastAsia="仿宋_GB2312" w:cs="宋体"/>
                <w:szCs w:val="21"/>
              </w:rPr>
            </w:pPr>
            <w:r>
              <w:rPr>
                <w:rFonts w:hint="eastAsia" w:eastAsia="仿宋_GB2312" w:cs="宋体"/>
                <w:szCs w:val="21"/>
              </w:rPr>
              <w:t>温州生态园中兴大道延伸段道路工程</w:t>
            </w:r>
          </w:p>
        </w:tc>
        <w:tc>
          <w:tcPr>
            <w:tcW w:w="709" w:type="dxa"/>
            <w:vAlign w:val="center"/>
          </w:tcPr>
          <w:p>
            <w:pPr>
              <w:jc w:val="center"/>
              <w:rPr>
                <w:szCs w:val="21"/>
              </w:rPr>
            </w:pPr>
            <w:r>
              <w:rPr>
                <w:rFonts w:hint="eastAsia"/>
                <w:szCs w:val="21"/>
              </w:rPr>
              <w:t xml:space="preserve">101.7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温州市七都大桥北汊桥</w:t>
            </w:r>
          </w:p>
        </w:tc>
        <w:tc>
          <w:tcPr>
            <w:tcW w:w="708" w:type="dxa"/>
            <w:tcBorders>
              <w:right w:val="double" w:color="auto" w:sz="4" w:space="0"/>
            </w:tcBorders>
            <w:vAlign w:val="center"/>
          </w:tcPr>
          <w:p>
            <w:pPr>
              <w:jc w:val="center"/>
              <w:rPr>
                <w:szCs w:val="21"/>
              </w:rPr>
            </w:pPr>
            <w:r>
              <w:rPr>
                <w:rFonts w:hint="eastAsia"/>
                <w:szCs w:val="21"/>
              </w:rPr>
              <w:t xml:space="preserve">70.1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市域铁路S2线一期工程</w:t>
            </w:r>
          </w:p>
        </w:tc>
        <w:tc>
          <w:tcPr>
            <w:tcW w:w="709" w:type="dxa"/>
            <w:tcBorders>
              <w:right w:val="double" w:color="auto" w:sz="4" w:space="0"/>
            </w:tcBorders>
            <w:vAlign w:val="center"/>
          </w:tcPr>
          <w:p>
            <w:pPr>
              <w:jc w:val="center"/>
              <w:rPr>
                <w:szCs w:val="21"/>
              </w:rPr>
            </w:pPr>
            <w:r>
              <w:rPr>
                <w:rFonts w:hint="eastAsia"/>
                <w:szCs w:val="21"/>
              </w:rPr>
              <w:t xml:space="preserve">55.9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w:t>
            </w:r>
            <w:r>
              <w:rPr>
                <w:rFonts w:hint="eastAsia" w:cs="宋体" w:eastAsiaTheme="minorEastAsia"/>
                <w:szCs w:val="21"/>
              </w:rPr>
              <w:t>垟</w:t>
            </w:r>
            <w:r>
              <w:rPr>
                <w:rFonts w:hint="eastAsia" w:eastAsia="仿宋_GB2312" w:cs="宋体"/>
                <w:szCs w:val="21"/>
              </w:rPr>
              <w:t>城市湿地公园建设工程</w:t>
            </w:r>
          </w:p>
        </w:tc>
        <w:tc>
          <w:tcPr>
            <w:tcW w:w="709" w:type="dxa"/>
            <w:vAlign w:val="center"/>
          </w:tcPr>
          <w:p>
            <w:pPr>
              <w:jc w:val="center"/>
              <w:rPr>
                <w:szCs w:val="21"/>
              </w:rPr>
            </w:pPr>
            <w:r>
              <w:rPr>
                <w:rFonts w:hint="eastAsia"/>
                <w:szCs w:val="21"/>
              </w:rPr>
              <w:t xml:space="preserve">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滨江商务区洪福路（府东路-加洲路）市政道路工程</w:t>
            </w:r>
          </w:p>
        </w:tc>
        <w:tc>
          <w:tcPr>
            <w:tcW w:w="708" w:type="dxa"/>
            <w:tcBorders>
              <w:right w:val="double" w:color="auto" w:sz="4" w:space="0"/>
            </w:tcBorders>
            <w:vAlign w:val="center"/>
          </w:tcPr>
          <w:p>
            <w:pPr>
              <w:jc w:val="center"/>
              <w:rPr>
                <w:szCs w:val="21"/>
              </w:rPr>
            </w:pPr>
            <w:r>
              <w:rPr>
                <w:rFonts w:hint="eastAsia"/>
                <w:szCs w:val="21"/>
              </w:rPr>
              <w:t xml:space="preserve">149.2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乐清湾港区铁路支线</w:t>
            </w:r>
          </w:p>
        </w:tc>
        <w:tc>
          <w:tcPr>
            <w:tcW w:w="709" w:type="dxa"/>
            <w:tcBorders>
              <w:right w:val="double" w:color="auto" w:sz="4" w:space="0"/>
            </w:tcBorders>
            <w:vAlign w:val="center"/>
          </w:tcPr>
          <w:p>
            <w:pPr>
              <w:jc w:val="center"/>
              <w:rPr>
                <w:szCs w:val="21"/>
              </w:rPr>
            </w:pPr>
            <w:r>
              <w:rPr>
                <w:rFonts w:hint="eastAsia"/>
                <w:szCs w:val="21"/>
              </w:rPr>
              <w:t xml:space="preserve">66.0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温州生态园三郎桥A15地块旧村农房改造安置工程</w:t>
            </w:r>
          </w:p>
        </w:tc>
        <w:tc>
          <w:tcPr>
            <w:tcW w:w="709" w:type="dxa"/>
            <w:vAlign w:val="center"/>
          </w:tcPr>
          <w:p>
            <w:pPr>
              <w:jc w:val="center"/>
              <w:rPr>
                <w:szCs w:val="21"/>
              </w:rPr>
            </w:pPr>
            <w:r>
              <w:rPr>
                <w:rFonts w:hint="eastAsia"/>
                <w:szCs w:val="21"/>
              </w:rPr>
              <w:t xml:space="preserve">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滨江商务区CBD片区中央绿轴一期工程（17-02地块）</w:t>
            </w:r>
          </w:p>
        </w:tc>
        <w:tc>
          <w:tcPr>
            <w:tcW w:w="708" w:type="dxa"/>
            <w:tcBorders>
              <w:right w:val="double" w:color="auto" w:sz="4" w:space="0"/>
            </w:tcBorders>
            <w:vAlign w:val="center"/>
          </w:tcPr>
          <w:p>
            <w:pPr>
              <w:jc w:val="center"/>
              <w:rPr>
                <w:szCs w:val="21"/>
              </w:rPr>
            </w:pPr>
            <w:r>
              <w:rPr>
                <w:rFonts w:hint="eastAsia"/>
                <w:szCs w:val="21"/>
              </w:rPr>
              <w:t xml:space="preserve">225.8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杭温高铁一期（温州段）</w:t>
            </w:r>
          </w:p>
        </w:tc>
        <w:tc>
          <w:tcPr>
            <w:tcW w:w="709" w:type="dxa"/>
            <w:tcBorders>
              <w:right w:val="double" w:color="auto" w:sz="4" w:space="0"/>
            </w:tcBorders>
            <w:vAlign w:val="center"/>
          </w:tcPr>
          <w:p>
            <w:pPr>
              <w:jc w:val="center"/>
              <w:rPr>
                <w:szCs w:val="21"/>
              </w:rPr>
            </w:pPr>
            <w:r>
              <w:rPr>
                <w:rFonts w:hint="eastAsia"/>
                <w:szCs w:val="21"/>
              </w:rPr>
              <w:t xml:space="preserve">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住建委</w:t>
            </w:r>
          </w:p>
        </w:tc>
        <w:tc>
          <w:tcPr>
            <w:tcW w:w="2268" w:type="dxa"/>
            <w:vAlign w:val="center"/>
          </w:tcPr>
          <w:p>
            <w:pPr>
              <w:rPr>
                <w:rFonts w:eastAsia="仿宋_GB2312" w:cs="宋体"/>
                <w:szCs w:val="21"/>
              </w:rPr>
            </w:pPr>
            <w:r>
              <w:rPr>
                <w:rFonts w:hint="eastAsia" w:eastAsia="仿宋_GB2312" w:cs="宋体"/>
                <w:szCs w:val="21"/>
              </w:rPr>
              <w:t>温州市中心片污水处理厂迁建工程BOT项目</w:t>
            </w:r>
          </w:p>
        </w:tc>
        <w:tc>
          <w:tcPr>
            <w:tcW w:w="709" w:type="dxa"/>
            <w:vAlign w:val="center"/>
          </w:tcPr>
          <w:p>
            <w:pPr>
              <w:jc w:val="center"/>
              <w:rPr>
                <w:szCs w:val="21"/>
              </w:rPr>
            </w:pPr>
            <w:r>
              <w:rPr>
                <w:rFonts w:hint="eastAsia"/>
                <w:szCs w:val="21"/>
              </w:rPr>
              <w:t xml:space="preserve">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00" w:lineRule="exact"/>
              <w:jc w:val="center"/>
              <w:rPr>
                <w:rFonts w:eastAsia="仿宋_GB2312"/>
                <w:szCs w:val="21"/>
              </w:rPr>
            </w:pPr>
            <w:r>
              <w:rPr>
                <w:rFonts w:hint="eastAsia" w:eastAsia="仿宋_GB2312"/>
                <w:szCs w:val="21"/>
              </w:rPr>
              <w:t>公用</w:t>
            </w:r>
          </w:p>
        </w:tc>
        <w:tc>
          <w:tcPr>
            <w:tcW w:w="2444" w:type="dxa"/>
            <w:vAlign w:val="center"/>
          </w:tcPr>
          <w:p>
            <w:pPr>
              <w:rPr>
                <w:rFonts w:eastAsia="仿宋_GB2312" w:cs="宋体"/>
                <w:szCs w:val="21"/>
              </w:rPr>
            </w:pPr>
            <w:r>
              <w:rPr>
                <w:rFonts w:hint="eastAsia" w:eastAsia="仿宋_GB2312" w:cs="宋体"/>
                <w:szCs w:val="21"/>
              </w:rPr>
              <w:t>温州市区天然气输配工程</w:t>
            </w:r>
          </w:p>
        </w:tc>
        <w:tc>
          <w:tcPr>
            <w:tcW w:w="708" w:type="dxa"/>
            <w:tcBorders>
              <w:right w:val="double" w:color="auto" w:sz="4" w:space="0"/>
            </w:tcBorders>
            <w:vAlign w:val="center"/>
          </w:tcPr>
          <w:p>
            <w:pPr>
              <w:jc w:val="center"/>
              <w:rPr>
                <w:szCs w:val="21"/>
              </w:rPr>
            </w:pPr>
            <w:r>
              <w:rPr>
                <w:rFonts w:hint="eastAsia"/>
                <w:szCs w:val="21"/>
              </w:rPr>
              <w:t xml:space="preserve">126.4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温州市域铁路运营控制中心</w:t>
            </w:r>
          </w:p>
        </w:tc>
        <w:tc>
          <w:tcPr>
            <w:tcW w:w="709" w:type="dxa"/>
            <w:tcBorders>
              <w:right w:val="double" w:color="auto" w:sz="4" w:space="0"/>
            </w:tcBorders>
            <w:vAlign w:val="center"/>
          </w:tcPr>
          <w:p>
            <w:pPr>
              <w:jc w:val="center"/>
              <w:rPr>
                <w:szCs w:val="21"/>
              </w:rPr>
            </w:pPr>
            <w:r>
              <w:rPr>
                <w:rFonts w:hint="eastAsia"/>
                <w:szCs w:val="21"/>
              </w:rPr>
              <w:t xml:space="preserve">53.4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电力局</w:t>
            </w:r>
          </w:p>
        </w:tc>
        <w:tc>
          <w:tcPr>
            <w:tcW w:w="2268" w:type="dxa"/>
            <w:vAlign w:val="center"/>
          </w:tcPr>
          <w:p>
            <w:pPr>
              <w:rPr>
                <w:rFonts w:eastAsia="仿宋_GB2312" w:cs="宋体"/>
                <w:szCs w:val="21"/>
              </w:rPr>
            </w:pPr>
            <w:r>
              <w:rPr>
                <w:rFonts w:hint="eastAsia" w:eastAsia="仿宋_GB2312" w:cs="宋体"/>
                <w:szCs w:val="21"/>
              </w:rPr>
              <w:t>苍南500千伏输变电工程</w:t>
            </w:r>
          </w:p>
        </w:tc>
        <w:tc>
          <w:tcPr>
            <w:tcW w:w="709" w:type="dxa"/>
            <w:vAlign w:val="center"/>
          </w:tcPr>
          <w:p>
            <w:pPr>
              <w:jc w:val="center"/>
              <w:rPr>
                <w:szCs w:val="21"/>
              </w:rPr>
            </w:pPr>
            <w:r>
              <w:rPr>
                <w:rFonts w:hint="eastAsia"/>
                <w:szCs w:val="21"/>
              </w:rPr>
              <w:t xml:space="preserve">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西向水厂输配水干线工程</w:t>
            </w:r>
          </w:p>
        </w:tc>
        <w:tc>
          <w:tcPr>
            <w:tcW w:w="708" w:type="dxa"/>
            <w:tcBorders>
              <w:right w:val="double" w:color="auto" w:sz="4" w:space="0"/>
            </w:tcBorders>
            <w:vAlign w:val="center"/>
          </w:tcPr>
          <w:p>
            <w:pPr>
              <w:jc w:val="center"/>
              <w:rPr>
                <w:szCs w:val="21"/>
              </w:rPr>
            </w:pPr>
            <w:r>
              <w:rPr>
                <w:rFonts w:hint="eastAsia"/>
                <w:szCs w:val="21"/>
              </w:rPr>
              <w:t xml:space="preserve">67.8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灵昆车辆维修基地</w:t>
            </w:r>
          </w:p>
        </w:tc>
        <w:tc>
          <w:tcPr>
            <w:tcW w:w="709" w:type="dxa"/>
            <w:tcBorders>
              <w:right w:val="double" w:color="auto" w:sz="4" w:space="0"/>
            </w:tcBorders>
            <w:vAlign w:val="center"/>
          </w:tcPr>
          <w:p>
            <w:pPr>
              <w:jc w:val="center"/>
              <w:rPr>
                <w:szCs w:val="21"/>
              </w:rPr>
            </w:pPr>
            <w:r>
              <w:rPr>
                <w:rFonts w:hint="eastAsia"/>
                <w:szCs w:val="21"/>
              </w:rPr>
              <w:t xml:space="preserve">97.1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220千伏输变电工程</w:t>
            </w:r>
          </w:p>
        </w:tc>
        <w:tc>
          <w:tcPr>
            <w:tcW w:w="709" w:type="dxa"/>
            <w:vAlign w:val="center"/>
          </w:tcPr>
          <w:p>
            <w:pPr>
              <w:jc w:val="center"/>
              <w:rPr>
                <w:szCs w:val="21"/>
              </w:rPr>
            </w:pPr>
            <w:r>
              <w:rPr>
                <w:rFonts w:hint="eastAsia"/>
                <w:szCs w:val="21"/>
              </w:rPr>
              <w:t xml:space="preserve">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石鼓山水厂一期工程</w:t>
            </w:r>
          </w:p>
        </w:tc>
        <w:tc>
          <w:tcPr>
            <w:tcW w:w="708" w:type="dxa"/>
            <w:tcBorders>
              <w:right w:val="double" w:color="auto" w:sz="4" w:space="0"/>
            </w:tcBorders>
            <w:vAlign w:val="center"/>
          </w:tcPr>
          <w:p>
            <w:pPr>
              <w:jc w:val="center"/>
              <w:rPr>
                <w:szCs w:val="21"/>
              </w:rPr>
            </w:pPr>
            <w:r>
              <w:rPr>
                <w:rFonts w:hint="eastAsia"/>
                <w:szCs w:val="21"/>
              </w:rPr>
              <w:t xml:space="preserve">63.2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温州市动车南站西广场道路及配套工程</w:t>
            </w:r>
          </w:p>
        </w:tc>
        <w:tc>
          <w:tcPr>
            <w:tcW w:w="709" w:type="dxa"/>
            <w:tcBorders>
              <w:right w:val="double" w:color="auto" w:sz="4" w:space="0"/>
            </w:tcBorders>
            <w:vAlign w:val="center"/>
          </w:tcPr>
          <w:p>
            <w:pPr>
              <w:jc w:val="center"/>
              <w:rPr>
                <w:szCs w:val="21"/>
              </w:rPr>
            </w:pPr>
            <w:r>
              <w:rPr>
                <w:rFonts w:hint="eastAsia"/>
                <w:szCs w:val="21"/>
              </w:rPr>
              <w:t xml:space="preserve">61.8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110千伏输变电工程</w:t>
            </w:r>
          </w:p>
        </w:tc>
        <w:tc>
          <w:tcPr>
            <w:tcW w:w="709" w:type="dxa"/>
            <w:vAlign w:val="center"/>
          </w:tcPr>
          <w:p>
            <w:pPr>
              <w:jc w:val="center"/>
              <w:rPr>
                <w:szCs w:val="21"/>
              </w:rPr>
            </w:pPr>
            <w:r>
              <w:rPr>
                <w:rFonts w:hint="eastAsia"/>
                <w:szCs w:val="21"/>
              </w:rPr>
              <w:t xml:space="preserve">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00" w:lineRule="exact"/>
              <w:jc w:val="center"/>
              <w:rPr>
                <w:rFonts w:eastAsia="仿宋_GB2312"/>
                <w:szCs w:val="21"/>
              </w:rPr>
            </w:pPr>
            <w:r>
              <w:rPr>
                <w:rFonts w:hint="eastAsia" w:eastAsia="仿宋_GB2312"/>
                <w:szCs w:val="21"/>
              </w:rPr>
              <w:t>工业</w:t>
            </w:r>
          </w:p>
        </w:tc>
        <w:tc>
          <w:tcPr>
            <w:tcW w:w="2444" w:type="dxa"/>
            <w:vAlign w:val="center"/>
          </w:tcPr>
          <w:p>
            <w:pPr>
              <w:rPr>
                <w:rFonts w:eastAsia="仿宋_GB2312" w:cs="宋体"/>
                <w:szCs w:val="21"/>
              </w:rPr>
            </w:pPr>
            <w:r>
              <w:rPr>
                <w:rFonts w:hint="eastAsia" w:eastAsia="仿宋_GB2312" w:cs="宋体"/>
                <w:szCs w:val="21"/>
              </w:rPr>
              <w:t>温州牛山国际城市综合体四期工程</w:t>
            </w:r>
          </w:p>
        </w:tc>
        <w:tc>
          <w:tcPr>
            <w:tcW w:w="708" w:type="dxa"/>
            <w:tcBorders>
              <w:right w:val="double" w:color="auto" w:sz="4" w:space="0"/>
            </w:tcBorders>
            <w:vAlign w:val="center"/>
          </w:tcPr>
          <w:p>
            <w:pPr>
              <w:jc w:val="center"/>
              <w:rPr>
                <w:szCs w:val="21"/>
              </w:rPr>
            </w:pPr>
            <w:r>
              <w:rPr>
                <w:rFonts w:hint="eastAsia"/>
                <w:szCs w:val="21"/>
              </w:rPr>
              <w:t xml:space="preserve">74.9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名城</w:t>
            </w:r>
          </w:p>
        </w:tc>
        <w:tc>
          <w:tcPr>
            <w:tcW w:w="2126" w:type="dxa"/>
            <w:vAlign w:val="center"/>
          </w:tcPr>
          <w:p>
            <w:pPr>
              <w:rPr>
                <w:rFonts w:eastAsia="仿宋_GB2312" w:cs="宋体"/>
                <w:szCs w:val="21"/>
              </w:rPr>
            </w:pPr>
            <w:r>
              <w:rPr>
                <w:rFonts w:hint="eastAsia" w:eastAsia="仿宋_GB2312" w:cs="宋体"/>
                <w:szCs w:val="21"/>
              </w:rPr>
              <w:t>双龙路（南浦路-龙方路段）一期道路桥梁工程</w:t>
            </w:r>
          </w:p>
        </w:tc>
        <w:tc>
          <w:tcPr>
            <w:tcW w:w="709" w:type="dxa"/>
            <w:tcBorders>
              <w:right w:val="double" w:color="auto" w:sz="4" w:space="0"/>
            </w:tcBorders>
            <w:vAlign w:val="center"/>
          </w:tcPr>
          <w:p>
            <w:pPr>
              <w:jc w:val="center"/>
              <w:rPr>
                <w:szCs w:val="21"/>
              </w:rPr>
            </w:pPr>
            <w:r>
              <w:rPr>
                <w:rFonts w:hint="eastAsia"/>
                <w:szCs w:val="21"/>
              </w:rPr>
              <w:t xml:space="preserve">0.0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温州城乡配电网（含中心镇）建设工程</w:t>
            </w:r>
          </w:p>
        </w:tc>
        <w:tc>
          <w:tcPr>
            <w:tcW w:w="709" w:type="dxa"/>
            <w:vAlign w:val="center"/>
          </w:tcPr>
          <w:p>
            <w:pPr>
              <w:jc w:val="center"/>
              <w:rPr>
                <w:szCs w:val="21"/>
              </w:rPr>
            </w:pPr>
            <w:r>
              <w:rPr>
                <w:rFonts w:hint="eastAsia"/>
                <w:szCs w:val="21"/>
              </w:rPr>
              <w:t xml:space="preserve">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交投</w:t>
            </w:r>
          </w:p>
        </w:tc>
        <w:tc>
          <w:tcPr>
            <w:tcW w:w="2444" w:type="dxa"/>
            <w:vAlign w:val="center"/>
          </w:tcPr>
          <w:p>
            <w:pPr>
              <w:rPr>
                <w:rFonts w:eastAsia="仿宋_GB2312" w:cs="宋体"/>
                <w:szCs w:val="21"/>
              </w:rPr>
            </w:pPr>
            <w:r>
              <w:rPr>
                <w:rFonts w:hint="eastAsia" w:eastAsia="仿宋_GB2312" w:cs="宋体"/>
                <w:szCs w:val="21"/>
              </w:rPr>
              <w:t>温州绕城高速公路北线二期</w:t>
            </w:r>
          </w:p>
        </w:tc>
        <w:tc>
          <w:tcPr>
            <w:tcW w:w="708" w:type="dxa"/>
            <w:tcBorders>
              <w:right w:val="double" w:color="auto" w:sz="4" w:space="0"/>
            </w:tcBorders>
            <w:vAlign w:val="center"/>
          </w:tcPr>
          <w:p>
            <w:pPr>
              <w:jc w:val="center"/>
              <w:rPr>
                <w:szCs w:val="21"/>
              </w:rPr>
            </w:pPr>
            <w:r>
              <w:rPr>
                <w:rFonts w:hint="eastAsia"/>
                <w:szCs w:val="21"/>
              </w:rPr>
              <w:t xml:space="preserve">73.2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温州市龟湖街坊建设工程</w:t>
            </w:r>
          </w:p>
        </w:tc>
        <w:tc>
          <w:tcPr>
            <w:tcW w:w="709" w:type="dxa"/>
            <w:tcBorders>
              <w:right w:val="double" w:color="auto" w:sz="4" w:space="0"/>
            </w:tcBorders>
            <w:vAlign w:val="center"/>
          </w:tcPr>
          <w:p>
            <w:pPr>
              <w:jc w:val="center"/>
              <w:rPr>
                <w:szCs w:val="21"/>
              </w:rPr>
            </w:pPr>
            <w:r>
              <w:rPr>
                <w:rFonts w:hint="eastAsia"/>
                <w:szCs w:val="21"/>
              </w:rPr>
              <w:t xml:space="preserve">132.6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公安局</w:t>
            </w:r>
          </w:p>
        </w:tc>
        <w:tc>
          <w:tcPr>
            <w:tcW w:w="2268" w:type="dxa"/>
            <w:vAlign w:val="center"/>
          </w:tcPr>
          <w:p>
            <w:pPr>
              <w:rPr>
                <w:rFonts w:eastAsia="仿宋_GB2312" w:cs="宋体"/>
                <w:szCs w:val="21"/>
              </w:rPr>
            </w:pPr>
            <w:r>
              <w:rPr>
                <w:rFonts w:hint="eastAsia" w:eastAsia="仿宋_GB2312" w:cs="宋体"/>
                <w:szCs w:val="21"/>
              </w:rPr>
              <w:t>温州市监管中心建设工程</w:t>
            </w:r>
          </w:p>
        </w:tc>
        <w:tc>
          <w:tcPr>
            <w:tcW w:w="709" w:type="dxa"/>
            <w:vAlign w:val="center"/>
          </w:tcPr>
          <w:p>
            <w:pPr>
              <w:jc w:val="center"/>
              <w:rPr>
                <w:szCs w:val="21"/>
              </w:rPr>
            </w:pPr>
            <w:r>
              <w:rPr>
                <w:rFonts w:hint="eastAsia"/>
                <w:szCs w:val="21"/>
              </w:rPr>
              <w:t xml:space="preserve">44.3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甬台温高速公路复线温州南塘至黄华段</w:t>
            </w:r>
          </w:p>
        </w:tc>
        <w:tc>
          <w:tcPr>
            <w:tcW w:w="708" w:type="dxa"/>
            <w:tcBorders>
              <w:right w:val="double" w:color="auto" w:sz="4" w:space="0"/>
            </w:tcBorders>
            <w:vAlign w:val="center"/>
          </w:tcPr>
          <w:p>
            <w:pPr>
              <w:jc w:val="center"/>
              <w:rPr>
                <w:szCs w:val="21"/>
              </w:rPr>
            </w:pPr>
            <w:r>
              <w:rPr>
                <w:rFonts w:hint="eastAsia"/>
                <w:szCs w:val="21"/>
              </w:rPr>
              <w:t xml:space="preserve">76.7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名城广场</w:t>
            </w:r>
          </w:p>
        </w:tc>
        <w:tc>
          <w:tcPr>
            <w:tcW w:w="709" w:type="dxa"/>
            <w:tcBorders>
              <w:right w:val="double" w:color="auto" w:sz="4" w:space="0"/>
            </w:tcBorders>
            <w:vAlign w:val="center"/>
          </w:tcPr>
          <w:p>
            <w:pPr>
              <w:jc w:val="center"/>
              <w:rPr>
                <w:szCs w:val="21"/>
              </w:rPr>
            </w:pPr>
            <w:r>
              <w:rPr>
                <w:rFonts w:hint="eastAsia"/>
                <w:szCs w:val="21"/>
              </w:rPr>
              <w:t xml:space="preserve">84.2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医科大</w:t>
            </w:r>
          </w:p>
        </w:tc>
        <w:tc>
          <w:tcPr>
            <w:tcW w:w="2268" w:type="dxa"/>
            <w:vAlign w:val="center"/>
          </w:tcPr>
          <w:p>
            <w:pPr>
              <w:rPr>
                <w:rFonts w:eastAsia="仿宋_GB2312" w:cs="宋体"/>
                <w:szCs w:val="21"/>
              </w:rPr>
            </w:pPr>
            <w:r>
              <w:rPr>
                <w:rFonts w:hint="eastAsia" w:eastAsia="仿宋_GB2312" w:cs="宋体"/>
                <w:szCs w:val="21"/>
              </w:rPr>
              <w:t>温州医科大学仁济学院迁建工程</w:t>
            </w:r>
          </w:p>
        </w:tc>
        <w:tc>
          <w:tcPr>
            <w:tcW w:w="709" w:type="dxa"/>
            <w:vAlign w:val="center"/>
          </w:tcPr>
          <w:p>
            <w:pPr>
              <w:jc w:val="center"/>
              <w:rPr>
                <w:szCs w:val="21"/>
              </w:rPr>
            </w:pPr>
            <w:r>
              <w:rPr>
                <w:rFonts w:hint="eastAsia"/>
                <w:szCs w:val="21"/>
              </w:rPr>
              <w:t xml:space="preserve">134.3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甬台温高速公路复线温州灵昆至阁巷段</w:t>
            </w:r>
          </w:p>
        </w:tc>
        <w:tc>
          <w:tcPr>
            <w:tcW w:w="708" w:type="dxa"/>
            <w:tcBorders>
              <w:right w:val="double" w:color="auto" w:sz="4" w:space="0"/>
            </w:tcBorders>
            <w:vAlign w:val="center"/>
          </w:tcPr>
          <w:p>
            <w:pPr>
              <w:jc w:val="center"/>
              <w:rPr>
                <w:szCs w:val="21"/>
              </w:rPr>
            </w:pPr>
            <w:r>
              <w:rPr>
                <w:rFonts w:hint="eastAsia"/>
                <w:szCs w:val="21"/>
              </w:rPr>
              <w:t xml:space="preserve">75.2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农投</w:t>
            </w:r>
          </w:p>
        </w:tc>
        <w:tc>
          <w:tcPr>
            <w:tcW w:w="2126" w:type="dxa"/>
            <w:vAlign w:val="center"/>
          </w:tcPr>
          <w:p>
            <w:pPr>
              <w:rPr>
                <w:rFonts w:eastAsia="仿宋_GB2312" w:cs="宋体"/>
                <w:szCs w:val="21"/>
              </w:rPr>
            </w:pPr>
            <w:r>
              <w:rPr>
                <w:rFonts w:hint="eastAsia" w:eastAsia="仿宋_GB2312" w:cs="宋体"/>
                <w:szCs w:val="21"/>
              </w:rPr>
              <w:t>温州市社会福利中心02c地块建设工程</w:t>
            </w:r>
          </w:p>
        </w:tc>
        <w:tc>
          <w:tcPr>
            <w:tcW w:w="709" w:type="dxa"/>
            <w:tcBorders>
              <w:right w:val="double" w:color="auto" w:sz="4" w:space="0"/>
            </w:tcBorders>
            <w:vAlign w:val="center"/>
          </w:tcPr>
          <w:p>
            <w:pPr>
              <w:jc w:val="center"/>
              <w:rPr>
                <w:szCs w:val="21"/>
              </w:rPr>
            </w:pPr>
            <w:r>
              <w:rPr>
                <w:rFonts w:hint="eastAsia"/>
                <w:szCs w:val="21"/>
              </w:rPr>
              <w:t xml:space="preserve">67.2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温州医科大学附属第二医瑶溪医院</w:t>
            </w:r>
          </w:p>
        </w:tc>
        <w:tc>
          <w:tcPr>
            <w:tcW w:w="709" w:type="dxa"/>
            <w:vAlign w:val="center"/>
          </w:tcPr>
          <w:p>
            <w:pPr>
              <w:jc w:val="center"/>
              <w:rPr>
                <w:szCs w:val="21"/>
              </w:rPr>
            </w:pPr>
            <w:r>
              <w:rPr>
                <w:rFonts w:hint="eastAsia"/>
                <w:szCs w:val="21"/>
              </w:rPr>
              <w:t xml:space="preserve">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甬台温高速公路复线温州瑞安至苍南段</w:t>
            </w:r>
          </w:p>
        </w:tc>
        <w:tc>
          <w:tcPr>
            <w:tcW w:w="708" w:type="dxa"/>
            <w:tcBorders>
              <w:right w:val="double" w:color="auto" w:sz="4" w:space="0"/>
            </w:tcBorders>
            <w:vAlign w:val="center"/>
          </w:tcPr>
          <w:p>
            <w:pPr>
              <w:jc w:val="center"/>
              <w:rPr>
                <w:szCs w:val="21"/>
              </w:rPr>
            </w:pPr>
            <w:r>
              <w:rPr>
                <w:rFonts w:hint="eastAsia"/>
                <w:szCs w:val="21"/>
              </w:rPr>
              <w:t xml:space="preserve">75.8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温州市本级新建储备粮库一期工程</w:t>
            </w:r>
          </w:p>
        </w:tc>
        <w:tc>
          <w:tcPr>
            <w:tcW w:w="709" w:type="dxa"/>
            <w:tcBorders>
              <w:right w:val="double" w:color="auto" w:sz="4" w:space="0"/>
            </w:tcBorders>
            <w:vAlign w:val="center"/>
          </w:tcPr>
          <w:p>
            <w:pPr>
              <w:jc w:val="center"/>
              <w:rPr>
                <w:szCs w:val="21"/>
              </w:rPr>
            </w:pPr>
            <w:r>
              <w:rPr>
                <w:rFonts w:hint="eastAsia"/>
                <w:szCs w:val="21"/>
              </w:rPr>
              <w:t xml:space="preserve">162.1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温州医科大学附属口腔医院瑶溪新院建设工程</w:t>
            </w:r>
          </w:p>
        </w:tc>
        <w:tc>
          <w:tcPr>
            <w:tcW w:w="709" w:type="dxa"/>
            <w:vAlign w:val="center"/>
          </w:tcPr>
          <w:p>
            <w:pPr>
              <w:jc w:val="center"/>
              <w:rPr>
                <w:szCs w:val="21"/>
              </w:rPr>
            </w:pPr>
            <w:r>
              <w:rPr>
                <w:rFonts w:hint="eastAsia"/>
                <w:szCs w:val="21"/>
              </w:rPr>
              <w:t xml:space="preserve">131.3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温州瓯江北口大桥工程</w:t>
            </w:r>
          </w:p>
        </w:tc>
        <w:tc>
          <w:tcPr>
            <w:tcW w:w="708" w:type="dxa"/>
            <w:tcBorders>
              <w:right w:val="double" w:color="auto" w:sz="4" w:space="0"/>
            </w:tcBorders>
            <w:vAlign w:val="center"/>
          </w:tcPr>
          <w:p>
            <w:pPr>
              <w:jc w:val="center"/>
              <w:rPr>
                <w:szCs w:val="21"/>
              </w:rPr>
            </w:pPr>
            <w:r>
              <w:rPr>
                <w:rFonts w:hint="eastAsia"/>
                <w:szCs w:val="21"/>
              </w:rPr>
              <w:t xml:space="preserve">71.8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教育局</w:t>
            </w:r>
          </w:p>
        </w:tc>
        <w:tc>
          <w:tcPr>
            <w:tcW w:w="2126" w:type="dxa"/>
            <w:vAlign w:val="center"/>
          </w:tcPr>
          <w:p>
            <w:pPr>
              <w:rPr>
                <w:rFonts w:eastAsia="仿宋_GB2312" w:cs="宋体"/>
                <w:szCs w:val="21"/>
              </w:rPr>
            </w:pPr>
            <w:r>
              <w:rPr>
                <w:rFonts w:hint="eastAsia" w:eastAsia="仿宋_GB2312" w:cs="宋体"/>
                <w:szCs w:val="21"/>
              </w:rPr>
              <w:t>温州滨海职业教育中心建设工程</w:t>
            </w:r>
          </w:p>
        </w:tc>
        <w:tc>
          <w:tcPr>
            <w:tcW w:w="709" w:type="dxa"/>
            <w:tcBorders>
              <w:right w:val="double" w:color="auto" w:sz="4" w:space="0"/>
            </w:tcBorders>
            <w:vAlign w:val="center"/>
          </w:tcPr>
          <w:p>
            <w:pPr>
              <w:jc w:val="center"/>
              <w:rPr>
                <w:szCs w:val="21"/>
              </w:rPr>
            </w:pPr>
            <w:r>
              <w:rPr>
                <w:rFonts w:hint="eastAsia"/>
                <w:szCs w:val="21"/>
              </w:rPr>
              <w:t xml:space="preserve">71.7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温州医科大学眼视光改扩建工程</w:t>
            </w:r>
          </w:p>
        </w:tc>
        <w:tc>
          <w:tcPr>
            <w:tcW w:w="709" w:type="dxa"/>
            <w:vAlign w:val="center"/>
          </w:tcPr>
          <w:p>
            <w:pPr>
              <w:jc w:val="center"/>
              <w:rPr>
                <w:szCs w:val="21"/>
              </w:rPr>
            </w:pPr>
            <w:r>
              <w:rPr>
                <w:rFonts w:hint="eastAsia"/>
                <w:szCs w:val="21"/>
              </w:rPr>
              <w:t xml:space="preserve">108.9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龙丽温</w:t>
            </w:r>
          </w:p>
        </w:tc>
        <w:tc>
          <w:tcPr>
            <w:tcW w:w="2444" w:type="dxa"/>
            <w:vAlign w:val="center"/>
          </w:tcPr>
          <w:p>
            <w:pPr>
              <w:rPr>
                <w:rFonts w:eastAsia="仿宋_GB2312" w:cs="宋体"/>
                <w:szCs w:val="21"/>
              </w:rPr>
            </w:pPr>
            <w:r>
              <w:rPr>
                <w:rFonts w:hint="eastAsia" w:eastAsia="仿宋_GB2312" w:cs="宋体"/>
                <w:szCs w:val="21"/>
              </w:rPr>
              <w:t>龙丽温高速公路文成至瑞安段</w:t>
            </w:r>
          </w:p>
        </w:tc>
        <w:tc>
          <w:tcPr>
            <w:tcW w:w="708" w:type="dxa"/>
            <w:tcBorders>
              <w:right w:val="double" w:color="auto" w:sz="4" w:space="0"/>
            </w:tcBorders>
            <w:vAlign w:val="center"/>
          </w:tcPr>
          <w:p>
            <w:pPr>
              <w:jc w:val="center"/>
              <w:rPr>
                <w:szCs w:val="21"/>
              </w:rPr>
            </w:pPr>
            <w:r>
              <w:rPr>
                <w:rFonts w:hint="eastAsia"/>
                <w:szCs w:val="21"/>
              </w:rPr>
              <w:t xml:space="preserve">72.7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温州市第二职业中等专业学校迁扩建工程</w:t>
            </w:r>
          </w:p>
        </w:tc>
        <w:tc>
          <w:tcPr>
            <w:tcW w:w="709" w:type="dxa"/>
            <w:tcBorders>
              <w:right w:val="double" w:color="auto" w:sz="4" w:space="0"/>
            </w:tcBorders>
            <w:vAlign w:val="center"/>
          </w:tcPr>
          <w:p>
            <w:pPr>
              <w:jc w:val="center"/>
              <w:rPr>
                <w:szCs w:val="21"/>
              </w:rPr>
            </w:pPr>
            <w:r>
              <w:rPr>
                <w:rFonts w:hint="eastAsia"/>
                <w:szCs w:val="21"/>
              </w:rPr>
              <w:t xml:space="preserve">88.9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商学院</w:t>
            </w:r>
          </w:p>
        </w:tc>
        <w:tc>
          <w:tcPr>
            <w:tcW w:w="2268" w:type="dxa"/>
            <w:vAlign w:val="center"/>
          </w:tcPr>
          <w:p>
            <w:pPr>
              <w:rPr>
                <w:rFonts w:eastAsia="仿宋_GB2312" w:cs="宋体"/>
                <w:szCs w:val="21"/>
              </w:rPr>
            </w:pPr>
            <w:r>
              <w:rPr>
                <w:rFonts w:hint="eastAsia" w:eastAsia="仿宋_GB2312" w:cs="宋体"/>
                <w:szCs w:val="21"/>
              </w:rPr>
              <w:t>温州商学院扩建工程</w:t>
            </w:r>
          </w:p>
        </w:tc>
        <w:tc>
          <w:tcPr>
            <w:tcW w:w="709" w:type="dxa"/>
            <w:vAlign w:val="center"/>
          </w:tcPr>
          <w:p>
            <w:pPr>
              <w:jc w:val="center"/>
              <w:rPr>
                <w:szCs w:val="21"/>
              </w:rPr>
            </w:pPr>
            <w:r>
              <w:rPr>
                <w:rFonts w:hint="eastAsia"/>
                <w:szCs w:val="21"/>
              </w:rPr>
              <w:t xml:space="preserve">122.3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溧阳至宁德高速公路（G4012）文成至泰顺段</w:t>
            </w:r>
          </w:p>
        </w:tc>
        <w:tc>
          <w:tcPr>
            <w:tcW w:w="708" w:type="dxa"/>
            <w:tcBorders>
              <w:right w:val="double" w:color="auto" w:sz="4" w:space="0"/>
            </w:tcBorders>
            <w:vAlign w:val="center"/>
          </w:tcPr>
          <w:p>
            <w:pPr>
              <w:jc w:val="center"/>
              <w:rPr>
                <w:szCs w:val="21"/>
              </w:rPr>
            </w:pPr>
            <w:r>
              <w:rPr>
                <w:rFonts w:hint="eastAsia"/>
                <w:szCs w:val="21"/>
              </w:rPr>
              <w:t xml:space="preserve">63.2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温州市第三十二中学一期建设工程</w:t>
            </w:r>
          </w:p>
        </w:tc>
        <w:tc>
          <w:tcPr>
            <w:tcW w:w="709" w:type="dxa"/>
            <w:tcBorders>
              <w:right w:val="double" w:color="auto" w:sz="4" w:space="0"/>
            </w:tcBorders>
            <w:vAlign w:val="center"/>
          </w:tcPr>
          <w:p>
            <w:pPr>
              <w:jc w:val="center"/>
              <w:rPr>
                <w:szCs w:val="21"/>
              </w:rPr>
            </w:pPr>
            <w:r>
              <w:rPr>
                <w:rFonts w:hint="eastAsia"/>
                <w:szCs w:val="21"/>
              </w:rPr>
              <w:t xml:space="preserve">53.8 </w:t>
            </w:r>
          </w:p>
        </w:tc>
        <w:tc>
          <w:tcPr>
            <w:tcW w:w="425" w:type="dxa"/>
            <w:tcBorders>
              <w:left w:val="double" w:color="auto" w:sz="4" w:space="0"/>
            </w:tcBorders>
            <w:vAlign w:val="center"/>
          </w:tcPr>
          <w:p>
            <w:pPr>
              <w:spacing w:line="160" w:lineRule="exact"/>
              <w:rPr>
                <w:rFonts w:eastAsia="仿宋_GB2312"/>
                <w:szCs w:val="21"/>
              </w:rPr>
            </w:pPr>
            <w:r>
              <w:rPr>
                <w:rFonts w:hint="eastAsia" w:eastAsia="仿宋_GB2312"/>
                <w:szCs w:val="21"/>
              </w:rPr>
              <w:t>肯恩</w:t>
            </w:r>
          </w:p>
        </w:tc>
        <w:tc>
          <w:tcPr>
            <w:tcW w:w="2268" w:type="dxa"/>
            <w:vAlign w:val="center"/>
          </w:tcPr>
          <w:p>
            <w:pPr>
              <w:rPr>
                <w:rFonts w:eastAsia="仿宋_GB2312" w:cs="宋体"/>
                <w:szCs w:val="21"/>
              </w:rPr>
            </w:pPr>
            <w:r>
              <w:rPr>
                <w:rFonts w:hint="eastAsia" w:eastAsia="仿宋_GB2312" w:cs="宋体"/>
                <w:szCs w:val="21"/>
              </w:rPr>
              <w:t>温州肯恩大学</w:t>
            </w:r>
          </w:p>
        </w:tc>
        <w:tc>
          <w:tcPr>
            <w:tcW w:w="709" w:type="dxa"/>
            <w:vAlign w:val="center"/>
          </w:tcPr>
          <w:p>
            <w:pPr>
              <w:jc w:val="center"/>
              <w:rPr>
                <w:szCs w:val="21"/>
              </w:rPr>
            </w:pPr>
            <w:r>
              <w:rPr>
                <w:rFonts w:hint="eastAsia"/>
                <w:szCs w:val="21"/>
              </w:rPr>
              <w:t xml:space="preserve">64.5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溧阳至宁德高速公路（G4012）浙江景宁至文成段（文成段）</w:t>
            </w:r>
          </w:p>
        </w:tc>
        <w:tc>
          <w:tcPr>
            <w:tcW w:w="708" w:type="dxa"/>
            <w:tcBorders>
              <w:right w:val="double" w:color="auto" w:sz="4" w:space="0"/>
            </w:tcBorders>
            <w:vAlign w:val="center"/>
          </w:tcPr>
          <w:p>
            <w:pPr>
              <w:jc w:val="center"/>
              <w:rPr>
                <w:szCs w:val="21"/>
              </w:rPr>
            </w:pPr>
            <w:r>
              <w:rPr>
                <w:rFonts w:hint="eastAsia"/>
                <w:szCs w:val="21"/>
              </w:rPr>
              <w:t xml:space="preserve">0.0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温州市学生实践学校（原温州市学生实践基地）建设工程</w:t>
            </w:r>
          </w:p>
        </w:tc>
        <w:tc>
          <w:tcPr>
            <w:tcW w:w="709" w:type="dxa"/>
            <w:tcBorders>
              <w:right w:val="double" w:color="auto" w:sz="4" w:space="0"/>
            </w:tcBorders>
            <w:vAlign w:val="center"/>
          </w:tcPr>
          <w:p>
            <w:pPr>
              <w:jc w:val="center"/>
              <w:rPr>
                <w:szCs w:val="21"/>
              </w:rPr>
            </w:pPr>
            <w:r>
              <w:rPr>
                <w:rFonts w:hint="eastAsia"/>
                <w:szCs w:val="21"/>
              </w:rPr>
              <w:t xml:space="preserve">53.5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工贸</w:t>
            </w:r>
          </w:p>
        </w:tc>
        <w:tc>
          <w:tcPr>
            <w:tcW w:w="2268" w:type="dxa"/>
            <w:vAlign w:val="center"/>
          </w:tcPr>
          <w:p>
            <w:pPr>
              <w:rPr>
                <w:rFonts w:eastAsia="仿宋_GB2312" w:cs="宋体"/>
                <w:szCs w:val="21"/>
              </w:rPr>
            </w:pPr>
            <w:r>
              <w:rPr>
                <w:rFonts w:hint="eastAsia" w:eastAsia="仿宋_GB2312" w:cs="宋体"/>
                <w:szCs w:val="21"/>
              </w:rPr>
              <w:t>浙江工贸职业技术学院（浙江第一高级技工学校）扩建工程</w:t>
            </w:r>
          </w:p>
        </w:tc>
        <w:tc>
          <w:tcPr>
            <w:tcW w:w="709" w:type="dxa"/>
            <w:vAlign w:val="center"/>
          </w:tcPr>
          <w:p>
            <w:pPr>
              <w:jc w:val="center"/>
              <w:rPr>
                <w:szCs w:val="21"/>
              </w:rPr>
            </w:pPr>
            <w:r>
              <w:rPr>
                <w:rFonts w:hint="eastAsia"/>
                <w:szCs w:val="21"/>
              </w:rPr>
              <w:t xml:space="preserve">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机场</w:t>
            </w:r>
          </w:p>
        </w:tc>
        <w:tc>
          <w:tcPr>
            <w:tcW w:w="2444" w:type="dxa"/>
            <w:vAlign w:val="center"/>
          </w:tcPr>
          <w:p>
            <w:pPr>
              <w:rPr>
                <w:rFonts w:eastAsia="仿宋_GB2312" w:cs="宋体"/>
                <w:szCs w:val="21"/>
              </w:rPr>
            </w:pPr>
            <w:r>
              <w:rPr>
                <w:rFonts w:hint="eastAsia" w:eastAsia="仿宋_GB2312" w:cs="宋体"/>
                <w:szCs w:val="21"/>
              </w:rPr>
              <w:t>温州机场新建货运区及生产辅助设施工程</w:t>
            </w:r>
          </w:p>
        </w:tc>
        <w:tc>
          <w:tcPr>
            <w:tcW w:w="708" w:type="dxa"/>
            <w:tcBorders>
              <w:right w:val="double" w:color="auto" w:sz="4" w:space="0"/>
            </w:tcBorders>
            <w:vAlign w:val="center"/>
          </w:tcPr>
          <w:p>
            <w:pPr>
              <w:jc w:val="center"/>
              <w:rPr>
                <w:szCs w:val="21"/>
              </w:rPr>
            </w:pPr>
            <w:r>
              <w:rPr>
                <w:rFonts w:hint="eastAsia"/>
                <w:szCs w:val="21"/>
              </w:rPr>
              <w:t xml:space="preserve">67.3 </w:t>
            </w:r>
          </w:p>
        </w:tc>
        <w:tc>
          <w:tcPr>
            <w:tcW w:w="426" w:type="dxa"/>
            <w:vMerge w:val="restart"/>
            <w:tcBorders>
              <w:left w:val="double" w:color="auto" w:sz="4" w:space="0"/>
            </w:tcBorders>
            <w:vAlign w:val="center"/>
          </w:tcPr>
          <w:p>
            <w:pPr>
              <w:spacing w:line="200" w:lineRule="exact"/>
              <w:rPr>
                <w:rFonts w:eastAsia="仿宋_GB2312"/>
                <w:szCs w:val="21"/>
              </w:rPr>
            </w:pPr>
            <w:r>
              <w:rPr>
                <w:rFonts w:hint="eastAsia" w:eastAsia="仿宋_GB2312"/>
                <w:szCs w:val="21"/>
              </w:rPr>
              <w:t>体育局</w:t>
            </w:r>
          </w:p>
        </w:tc>
        <w:tc>
          <w:tcPr>
            <w:tcW w:w="2126" w:type="dxa"/>
            <w:vAlign w:val="center"/>
          </w:tcPr>
          <w:p>
            <w:pPr>
              <w:rPr>
                <w:rFonts w:eastAsia="仿宋_GB2312" w:cs="宋体"/>
                <w:szCs w:val="21"/>
              </w:rPr>
            </w:pPr>
            <w:r>
              <w:rPr>
                <w:rFonts w:hint="eastAsia" w:eastAsia="仿宋_GB2312" w:cs="宋体"/>
                <w:szCs w:val="21"/>
              </w:rPr>
              <w:t>温州体育运动学校迁建工程（永中校区）</w:t>
            </w:r>
          </w:p>
        </w:tc>
        <w:tc>
          <w:tcPr>
            <w:tcW w:w="709" w:type="dxa"/>
            <w:tcBorders>
              <w:right w:val="double" w:color="auto" w:sz="4" w:space="0"/>
            </w:tcBorders>
            <w:vAlign w:val="center"/>
          </w:tcPr>
          <w:p>
            <w:pPr>
              <w:jc w:val="center"/>
              <w:rPr>
                <w:szCs w:val="21"/>
              </w:rPr>
            </w:pPr>
            <w:r>
              <w:rPr>
                <w:rFonts w:hint="eastAsia"/>
                <w:szCs w:val="21"/>
              </w:rPr>
              <w:t xml:space="preserve">80.8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安防</w:t>
            </w:r>
          </w:p>
        </w:tc>
        <w:tc>
          <w:tcPr>
            <w:tcW w:w="2268" w:type="dxa"/>
            <w:vAlign w:val="center"/>
          </w:tcPr>
          <w:p>
            <w:pPr>
              <w:rPr>
                <w:rFonts w:eastAsia="仿宋_GB2312" w:cs="宋体"/>
                <w:szCs w:val="21"/>
              </w:rPr>
            </w:pPr>
            <w:r>
              <w:rPr>
                <w:rFonts w:hint="eastAsia" w:eastAsia="仿宋_GB2312" w:cs="宋体"/>
                <w:szCs w:val="21"/>
              </w:rPr>
              <w:t>温州市郭溪南单元安防学院J-02北地块建设工程</w:t>
            </w:r>
          </w:p>
        </w:tc>
        <w:tc>
          <w:tcPr>
            <w:tcW w:w="709" w:type="dxa"/>
            <w:vAlign w:val="center"/>
          </w:tcPr>
          <w:p>
            <w:pPr>
              <w:jc w:val="center"/>
              <w:rPr>
                <w:szCs w:val="21"/>
              </w:rPr>
            </w:pPr>
            <w:r>
              <w:rPr>
                <w:rFonts w:hint="eastAsia"/>
                <w:szCs w:val="21"/>
              </w:rPr>
              <w:t xml:space="preserve">157.7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温州机场交通枢纽综合体及公用配套工程</w:t>
            </w:r>
          </w:p>
        </w:tc>
        <w:tc>
          <w:tcPr>
            <w:tcW w:w="708" w:type="dxa"/>
            <w:tcBorders>
              <w:right w:val="double" w:color="auto" w:sz="4" w:space="0"/>
            </w:tcBorders>
            <w:vAlign w:val="center"/>
          </w:tcPr>
          <w:p>
            <w:pPr>
              <w:jc w:val="center"/>
              <w:rPr>
                <w:szCs w:val="21"/>
              </w:rPr>
            </w:pPr>
            <w:r>
              <w:rPr>
                <w:rFonts w:hint="eastAsia"/>
                <w:szCs w:val="21"/>
              </w:rPr>
              <w:t xml:space="preserve">132.0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温州奥林匹克体育中心-主体育场二期工程</w:t>
            </w:r>
          </w:p>
        </w:tc>
        <w:tc>
          <w:tcPr>
            <w:tcW w:w="709" w:type="dxa"/>
            <w:tcBorders>
              <w:right w:val="double" w:color="auto" w:sz="4" w:space="0"/>
            </w:tcBorders>
            <w:vAlign w:val="center"/>
          </w:tcPr>
          <w:p>
            <w:pPr>
              <w:jc w:val="center"/>
              <w:rPr>
                <w:szCs w:val="21"/>
              </w:rPr>
            </w:pPr>
            <w:r>
              <w:rPr>
                <w:rFonts w:hint="eastAsia"/>
                <w:szCs w:val="21"/>
              </w:rPr>
              <w:t xml:space="preserve">61.8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中石化</w:t>
            </w:r>
          </w:p>
        </w:tc>
        <w:tc>
          <w:tcPr>
            <w:tcW w:w="2268" w:type="dxa"/>
            <w:vAlign w:val="center"/>
          </w:tcPr>
          <w:p>
            <w:pPr>
              <w:rPr>
                <w:rFonts w:eastAsia="仿宋_GB2312" w:cs="宋体"/>
                <w:szCs w:val="21"/>
              </w:rPr>
            </w:pPr>
            <w:r>
              <w:rPr>
                <w:rFonts w:hint="eastAsia" w:eastAsia="仿宋_GB2312" w:cs="宋体"/>
                <w:szCs w:val="21"/>
              </w:rPr>
              <w:t>中石化温州灵昆油库及配套工程项目</w:t>
            </w:r>
          </w:p>
        </w:tc>
        <w:tc>
          <w:tcPr>
            <w:tcW w:w="709" w:type="dxa"/>
            <w:vAlign w:val="center"/>
          </w:tcPr>
          <w:p>
            <w:pPr>
              <w:jc w:val="center"/>
              <w:rPr>
                <w:szCs w:val="21"/>
              </w:rPr>
            </w:pPr>
            <w:r>
              <w:rPr>
                <w:rFonts w:hint="eastAsia"/>
                <w:szCs w:val="21"/>
              </w:rPr>
              <w:t xml:space="preserve">71.6  </w:t>
            </w:r>
          </w:p>
        </w:tc>
      </w:tr>
    </w:tbl>
    <w:p>
      <w:pPr>
        <w:spacing w:line="40" w:lineRule="exact"/>
        <w:ind w:firstLine="5184" w:firstLineChars="1620"/>
        <w:jc w:val="right"/>
        <w:rPr>
          <w:rFonts w:eastAsia="仿宋_GB2312"/>
          <w:sz w:val="32"/>
          <w:szCs w:val="32"/>
          <w:u w:val="single"/>
        </w:rPr>
      </w:pPr>
    </w:p>
    <w:p>
      <w:pPr>
        <w:spacing w:afterLines="50" w:line="240" w:lineRule="atLeast"/>
        <w:rPr>
          <w:rFonts w:eastAsia="黑体"/>
          <w:sz w:val="32"/>
          <w:szCs w:val="32"/>
        </w:rPr>
      </w:pPr>
      <w:r>
        <w:rPr>
          <w:rFonts w:eastAsia="仿宋_GB2312"/>
          <w:sz w:val="32"/>
          <w:szCs w:val="32"/>
          <w:u w:val="single"/>
        </w:rPr>
        <w:br w:type="page"/>
      </w:r>
      <w:r>
        <w:rPr>
          <w:rFonts w:hint="eastAsia" w:eastAsia="黑体"/>
          <w:sz w:val="32"/>
          <w:szCs w:val="32"/>
        </w:rPr>
        <w:t>附件5</w:t>
      </w:r>
    </w:p>
    <w:p>
      <w:pPr>
        <w:spacing w:afterLines="50" w:line="240" w:lineRule="atLeast"/>
        <w:jc w:val="center"/>
        <w:rPr>
          <w:sz w:val="24"/>
        </w:rPr>
      </w:pPr>
      <w:r>
        <w:rPr>
          <w:rFonts w:hint="eastAsia" w:eastAsia="方正小标宋简体"/>
          <w:sz w:val="36"/>
          <w:szCs w:val="36"/>
        </w:rPr>
        <w:t>2018年市重点建设项目开工完成情况表</w:t>
      </w:r>
      <w:r>
        <w:rPr>
          <w:rFonts w:hint="eastAsia" w:eastAsia="楷体_GB2312"/>
          <w:sz w:val="32"/>
          <w:szCs w:val="32"/>
        </w:rPr>
        <w:t>（1-9月）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eastAsia="黑体"/>
                <w:sz w:val="18"/>
                <w:szCs w:val="18"/>
              </w:rPr>
            </w:pPr>
            <w:r>
              <w:rPr>
                <w:rFonts w:eastAsia="黑体"/>
                <w:sz w:val="18"/>
                <w:szCs w:val="18"/>
              </w:rPr>
              <w:t>单位</w:t>
            </w:r>
          </w:p>
        </w:tc>
        <w:tc>
          <w:tcPr>
            <w:tcW w:w="2024"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pacing w:val="-20"/>
                <w:sz w:val="18"/>
                <w:szCs w:val="18"/>
              </w:rPr>
            </w:pPr>
            <w:r>
              <w:rPr>
                <w:rFonts w:eastAsia="黑体"/>
                <w:spacing w:val="-20"/>
                <w:sz w:val="18"/>
                <w:szCs w:val="18"/>
              </w:rPr>
              <w:t>计划开工时间</w:t>
            </w:r>
          </w:p>
        </w:tc>
        <w:tc>
          <w:tcPr>
            <w:tcW w:w="397"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2011"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11"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w:t>
            </w:r>
          </w:p>
          <w:p>
            <w:pPr>
              <w:spacing w:line="180" w:lineRule="exact"/>
              <w:jc w:val="center"/>
              <w:rPr>
                <w:rFonts w:eastAsia="黑体"/>
                <w:sz w:val="18"/>
                <w:szCs w:val="18"/>
              </w:rPr>
            </w:pPr>
            <w:r>
              <w:rPr>
                <w:rFonts w:eastAsia="黑体"/>
                <w:sz w:val="18"/>
                <w:szCs w:val="18"/>
              </w:rPr>
              <w:t>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1997"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25" w:type="dxa"/>
            <w:vAlign w:val="center"/>
          </w:tcPr>
          <w:p>
            <w:pPr>
              <w:spacing w:line="180" w:lineRule="exact"/>
              <w:jc w:val="center"/>
              <w:rPr>
                <w:rFonts w:eastAsia="黑体"/>
                <w:sz w:val="18"/>
                <w:szCs w:val="18"/>
              </w:rPr>
            </w:pPr>
            <w:r>
              <w:rPr>
                <w:rFonts w:eastAsia="黑体"/>
                <w:sz w:val="18"/>
                <w:szCs w:val="18"/>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鹿城区</w:t>
            </w:r>
          </w:p>
        </w:tc>
        <w:tc>
          <w:tcPr>
            <w:tcW w:w="2024" w:type="dxa"/>
            <w:vAlign w:val="center"/>
          </w:tcPr>
          <w:p>
            <w:pPr>
              <w:spacing w:line="200" w:lineRule="exact"/>
              <w:rPr>
                <w:rFonts w:eastAsia="仿宋_GB2312"/>
                <w:sz w:val="16"/>
                <w:szCs w:val="16"/>
              </w:rPr>
            </w:pPr>
            <w:r>
              <w:rPr>
                <w:rFonts w:hint="eastAsia" w:eastAsia="仿宋_GB2312"/>
                <w:sz w:val="16"/>
                <w:szCs w:val="16"/>
              </w:rPr>
              <w:t>温州市瓯江引水鹿城西片配水工程（隧洞河道工程）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乐清市</w:t>
            </w:r>
          </w:p>
        </w:tc>
        <w:tc>
          <w:tcPr>
            <w:tcW w:w="2011" w:type="dxa"/>
            <w:vAlign w:val="center"/>
          </w:tcPr>
          <w:p>
            <w:pPr>
              <w:spacing w:line="200" w:lineRule="exact"/>
              <w:rPr>
                <w:rFonts w:eastAsia="仿宋_GB2312"/>
                <w:sz w:val="16"/>
                <w:szCs w:val="16"/>
              </w:rPr>
            </w:pPr>
            <w:r>
              <w:rPr>
                <w:rFonts w:hint="eastAsia" w:eastAsia="仿宋_GB2312"/>
                <w:sz w:val="16"/>
                <w:szCs w:val="16"/>
              </w:rPr>
              <w:t>乐清市乐柳虹平原排涝一期工程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文成县</w:t>
            </w:r>
          </w:p>
        </w:tc>
        <w:tc>
          <w:tcPr>
            <w:tcW w:w="1997" w:type="dxa"/>
            <w:vAlign w:val="center"/>
          </w:tcPr>
          <w:p>
            <w:pPr>
              <w:spacing w:line="200" w:lineRule="exact"/>
              <w:rPr>
                <w:rFonts w:eastAsia="仿宋_GB2312"/>
                <w:sz w:val="16"/>
                <w:szCs w:val="16"/>
              </w:rPr>
            </w:pPr>
            <w:r>
              <w:rPr>
                <w:rFonts w:hint="eastAsia" w:eastAsia="仿宋_GB2312"/>
                <w:sz w:val="16"/>
                <w:szCs w:val="16"/>
              </w:rPr>
              <w:t>文成县下沙</w:t>
            </w:r>
            <w:r>
              <w:rPr>
                <w:rFonts w:hint="eastAsia" w:cs="宋体"/>
                <w:sz w:val="16"/>
                <w:szCs w:val="16"/>
              </w:rPr>
              <w:t>垟</w:t>
            </w:r>
            <w:r>
              <w:rPr>
                <w:rFonts w:hint="eastAsia" w:eastAsia="仿宋_GB2312" w:cs="仿宋_GB2312"/>
                <w:sz w:val="16"/>
                <w:szCs w:val="16"/>
              </w:rPr>
              <w:t>城中村项目</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330国道鹿城官岭隧道改建工程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b/>
                <w:sz w:val="16"/>
                <w:szCs w:val="16"/>
              </w:rPr>
            </w:pPr>
            <w:r>
              <w:rPr>
                <w:rFonts w:hint="eastAsia" w:eastAsia="仿宋_GB2312"/>
                <w:b/>
                <w:sz w:val="16"/>
                <w:szCs w:val="16"/>
              </w:rPr>
              <w:t>228国道至323省道连接线</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cs="宋体"/>
                <w:b/>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文成县樟台村城中村项目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温瑞大道二期道路提升整治工程（鹿城段）</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虹桥职业技术学校迁扩建工程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黄坦镇东方慢城飞云湖小镇</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瓯江路道路及景观改造提升工程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乐清经济开发区学校建设工程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平阳县</w:t>
            </w:r>
          </w:p>
        </w:tc>
        <w:tc>
          <w:tcPr>
            <w:tcW w:w="1997" w:type="dxa"/>
            <w:vAlign w:val="center"/>
          </w:tcPr>
          <w:p>
            <w:pPr>
              <w:spacing w:line="200" w:lineRule="exact"/>
              <w:rPr>
                <w:rFonts w:eastAsia="仿宋_GB2312"/>
                <w:sz w:val="16"/>
                <w:szCs w:val="16"/>
              </w:rPr>
            </w:pPr>
            <w:r>
              <w:rPr>
                <w:rFonts w:hint="eastAsia" w:eastAsia="仿宋_GB2312"/>
                <w:sz w:val="16"/>
                <w:szCs w:val="16"/>
              </w:rPr>
              <w:t>平阳县瑞平平原排涝工程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中央绿轴区F-01地块、规划五路地下空间建设项目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柳市中学迁建工程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平阳昆阳镇城东小学建设工程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中央绿轴区D-34b地块、D-34a地块地下空间及水下通道建设项目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乐清市中医院扩建工程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平阳县中医院迁建工程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温州市七都岛片区七都南单元04-C-14/15/17/18地块及智联街地块项目</w:t>
            </w:r>
          </w:p>
        </w:tc>
        <w:tc>
          <w:tcPr>
            <w:tcW w:w="567" w:type="dxa"/>
            <w:vAlign w:val="center"/>
          </w:tcPr>
          <w:p>
            <w:pPr>
              <w:spacing w:line="200" w:lineRule="exact"/>
              <w:jc w:val="center"/>
              <w:rPr>
                <w:rFonts w:cs="宋体"/>
                <w:sz w:val="18"/>
                <w:szCs w:val="18"/>
              </w:rPr>
            </w:pPr>
            <w:r>
              <w:rPr>
                <w:rFonts w:hint="eastAsia"/>
                <w:sz w:val="18"/>
                <w:szCs w:val="18"/>
              </w:rPr>
              <w:t>6</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乐清市翁象大道及连接线（白象大道）建设工程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平阳县市民公园建设工程一期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龙湾区</w:t>
            </w:r>
          </w:p>
        </w:tc>
        <w:tc>
          <w:tcPr>
            <w:tcW w:w="2024" w:type="dxa"/>
            <w:vAlign w:val="center"/>
          </w:tcPr>
          <w:p>
            <w:pPr>
              <w:spacing w:line="200" w:lineRule="exact"/>
              <w:rPr>
                <w:rFonts w:eastAsia="仿宋_GB2312"/>
                <w:sz w:val="16"/>
                <w:szCs w:val="16"/>
              </w:rPr>
            </w:pPr>
            <w:r>
              <w:rPr>
                <w:rFonts w:hint="eastAsia" w:eastAsia="仿宋_GB2312"/>
                <w:sz w:val="16"/>
                <w:szCs w:val="16"/>
              </w:rPr>
              <w:t>瑞浦能源动力电池产业园</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乐清市盐盆山隧道及接线工程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泰顺县</w:t>
            </w:r>
          </w:p>
        </w:tc>
        <w:tc>
          <w:tcPr>
            <w:tcW w:w="1997" w:type="dxa"/>
            <w:vAlign w:val="center"/>
          </w:tcPr>
          <w:p>
            <w:pPr>
              <w:spacing w:line="200" w:lineRule="exact"/>
              <w:rPr>
                <w:rFonts w:eastAsia="仿宋_GB2312"/>
                <w:sz w:val="16"/>
                <w:szCs w:val="16"/>
              </w:rPr>
            </w:pPr>
            <w:r>
              <w:rPr>
                <w:rFonts w:hint="eastAsia" w:eastAsia="仿宋_GB2312"/>
                <w:sz w:val="16"/>
                <w:szCs w:val="16"/>
              </w:rPr>
              <w:t>泰顺县樟嫩梓水库及供水工程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空港新区空港中学</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乐清中能环球中心</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泰顺污水总厂和给排水工程PPP项目</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雁荡中路道路工程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瑞安市</w:t>
            </w:r>
          </w:p>
        </w:tc>
        <w:tc>
          <w:tcPr>
            <w:tcW w:w="2011" w:type="dxa"/>
            <w:vAlign w:val="center"/>
          </w:tcPr>
          <w:p>
            <w:pPr>
              <w:spacing w:line="200" w:lineRule="exact"/>
              <w:rPr>
                <w:rFonts w:eastAsia="仿宋_GB2312"/>
                <w:sz w:val="16"/>
                <w:szCs w:val="16"/>
              </w:rPr>
            </w:pPr>
            <w:r>
              <w:rPr>
                <w:rFonts w:hint="eastAsia" w:eastAsia="仿宋_GB2312"/>
                <w:sz w:val="16"/>
                <w:szCs w:val="16"/>
              </w:rPr>
              <w:t>104国道西过境瑞安仙降至平阳萧江段改建工程（瑞安段）</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廊桥文化广场综合体</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浙南科技城龙水片（YB-04-I-02、YB-04-I-06地块）城中村改造工程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华瑞达包装材料股份有限公司新建高分子材料BOPA薄膜生产线项目</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苍南县</w:t>
            </w:r>
          </w:p>
        </w:tc>
        <w:tc>
          <w:tcPr>
            <w:tcW w:w="1997" w:type="dxa"/>
            <w:vAlign w:val="center"/>
          </w:tcPr>
          <w:p>
            <w:pPr>
              <w:spacing w:line="200" w:lineRule="exact"/>
              <w:rPr>
                <w:rFonts w:eastAsia="仿宋_GB2312"/>
                <w:sz w:val="16"/>
                <w:szCs w:val="16"/>
              </w:rPr>
            </w:pPr>
            <w:r>
              <w:rPr>
                <w:rFonts w:hint="eastAsia" w:eastAsia="仿宋_GB2312"/>
                <w:sz w:val="16"/>
                <w:szCs w:val="16"/>
              </w:rPr>
              <w:t>鳌江南港流域江西</w:t>
            </w:r>
            <w:r>
              <w:rPr>
                <w:rFonts w:hint="eastAsia" w:cs="宋体"/>
                <w:sz w:val="16"/>
                <w:szCs w:val="16"/>
              </w:rPr>
              <w:t>垟</w:t>
            </w:r>
            <w:r>
              <w:rPr>
                <w:rFonts w:hint="eastAsia" w:eastAsia="仿宋_GB2312" w:cs="仿宋_GB2312"/>
                <w:sz w:val="16"/>
                <w:szCs w:val="16"/>
              </w:rPr>
              <w:t>平原排涝工程（苍南一期）</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温州市域铁路S1线龙腾站拆迁安置房工程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浙江新力新材料股份有限公司产5.5万吨特种工程塑料及透明尼龙的合成改性产业化项目</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228国道苍南龙沙至岱岭段</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S1线温州大道站配套工程（11-A-15 /24/30）</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瑞安市东新产城小微园（一期）</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彩虹智慧科技园</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龙江路电力线上改下迁改工程（中心区段）</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丁山二期围垦区市政道路工程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钱库小微创业园一期(新安)</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瓯海区</w:t>
            </w:r>
          </w:p>
        </w:tc>
        <w:tc>
          <w:tcPr>
            <w:tcW w:w="2024" w:type="dxa"/>
            <w:vAlign w:val="center"/>
          </w:tcPr>
          <w:p>
            <w:pPr>
              <w:spacing w:line="200" w:lineRule="exact"/>
              <w:rPr>
                <w:rFonts w:eastAsia="仿宋_GB2312"/>
                <w:sz w:val="16"/>
                <w:szCs w:val="16"/>
              </w:rPr>
            </w:pPr>
            <w:r>
              <w:rPr>
                <w:rFonts w:hint="eastAsia" w:eastAsia="仿宋_GB2312"/>
                <w:sz w:val="16"/>
                <w:szCs w:val="16"/>
              </w:rPr>
              <w:t>牛山整治城中村改造C-34地块配套学校（原新桥三小）扩建工程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东新产城科技创意园一期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龙港新城小微园区</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瓯海区霞坊路（温瑞大道-东方路）道路</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瑞安市滨海恒大商务中心</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b/>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苍南县大渔寮景区景观提升工程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丽岙街道王宅村城中村改造安置工程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瑞安市滨海五星级宾馆工程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瓯江口</w:t>
            </w:r>
          </w:p>
        </w:tc>
        <w:tc>
          <w:tcPr>
            <w:tcW w:w="1997" w:type="dxa"/>
            <w:vAlign w:val="center"/>
          </w:tcPr>
          <w:p>
            <w:pPr>
              <w:spacing w:line="200" w:lineRule="exact"/>
              <w:rPr>
                <w:rFonts w:eastAsia="仿宋_GB2312"/>
                <w:b/>
                <w:sz w:val="16"/>
                <w:szCs w:val="16"/>
              </w:rPr>
            </w:pPr>
            <w:r>
              <w:rPr>
                <w:rFonts w:hint="eastAsia" w:eastAsia="仿宋_GB2312"/>
                <w:b/>
                <w:sz w:val="16"/>
                <w:szCs w:val="16"/>
              </w:rPr>
              <w:t>228国道洞头灵昆段工程</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温州市瓯海中心区南单元D-22地块城中村改造安置房</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永嘉县</w:t>
            </w:r>
          </w:p>
        </w:tc>
        <w:tc>
          <w:tcPr>
            <w:tcW w:w="2011" w:type="dxa"/>
            <w:vAlign w:val="center"/>
          </w:tcPr>
          <w:p>
            <w:pPr>
              <w:spacing w:line="200" w:lineRule="exact"/>
              <w:rPr>
                <w:rFonts w:eastAsia="仿宋_GB2312"/>
                <w:sz w:val="16"/>
                <w:szCs w:val="16"/>
              </w:rPr>
            </w:pPr>
            <w:r>
              <w:rPr>
                <w:rFonts w:hint="eastAsia" w:eastAsia="仿宋_GB2312"/>
                <w:sz w:val="16"/>
                <w:szCs w:val="16"/>
              </w:rPr>
              <w:t>永嘉县（鹅浦溪、下塘溪）河口段整治工程</w:t>
            </w:r>
          </w:p>
        </w:tc>
        <w:tc>
          <w:tcPr>
            <w:tcW w:w="567" w:type="dxa"/>
            <w:vAlign w:val="center"/>
          </w:tcPr>
          <w:p>
            <w:pPr>
              <w:spacing w:line="200" w:lineRule="exact"/>
              <w:jc w:val="center"/>
              <w:rPr>
                <w:rFonts w:cs="宋体"/>
                <w:sz w:val="18"/>
                <w:szCs w:val="18"/>
              </w:rPr>
            </w:pPr>
            <w:r>
              <w:rPr>
                <w:rFonts w:hint="eastAsia"/>
                <w:sz w:val="18"/>
                <w:szCs w:val="18"/>
              </w:rPr>
              <w:t>2</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沈海高速复线瓯江口产业集聚区连接线工程</w:t>
            </w:r>
          </w:p>
        </w:tc>
        <w:tc>
          <w:tcPr>
            <w:tcW w:w="567" w:type="dxa"/>
            <w:vAlign w:val="center"/>
          </w:tcPr>
          <w:p>
            <w:pPr>
              <w:spacing w:line="200" w:lineRule="exact"/>
              <w:jc w:val="center"/>
              <w:rPr>
                <w:rFonts w:cs="宋体"/>
                <w:b/>
                <w:sz w:val="18"/>
                <w:szCs w:val="18"/>
              </w:rPr>
            </w:pPr>
            <w:r>
              <w:rPr>
                <w:rFonts w:hint="eastAsia"/>
                <w:b/>
                <w:sz w:val="18"/>
                <w:szCs w:val="18"/>
              </w:rPr>
              <w:t>6</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瓯海中心区拆迁安置商务楼（电力大楼中心单元B-11地块）</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S215省道安吉至洞头公路永嘉巽宅至桥下段工程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瓯锟科技金属复合新材料产业化项目（一期）</w:t>
            </w:r>
          </w:p>
        </w:tc>
        <w:tc>
          <w:tcPr>
            <w:tcW w:w="567" w:type="dxa"/>
            <w:vAlign w:val="center"/>
          </w:tcPr>
          <w:p>
            <w:pPr>
              <w:spacing w:line="200" w:lineRule="exact"/>
              <w:jc w:val="center"/>
              <w:rPr>
                <w:rFonts w:cs="宋体"/>
                <w:sz w:val="18"/>
                <w:szCs w:val="18"/>
              </w:rPr>
            </w:pPr>
            <w:r>
              <w:rPr>
                <w:rFonts w:hint="eastAsia"/>
                <w:sz w:val="18"/>
                <w:szCs w:val="18"/>
              </w:rPr>
              <w:t>3</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瓯海时尚智造小镇会展中心工程</w:t>
            </w:r>
          </w:p>
        </w:tc>
        <w:tc>
          <w:tcPr>
            <w:tcW w:w="567" w:type="dxa"/>
            <w:vAlign w:val="center"/>
          </w:tcPr>
          <w:p>
            <w:pPr>
              <w:spacing w:line="200" w:lineRule="exact"/>
              <w:jc w:val="center"/>
              <w:rPr>
                <w:rFonts w:cs="宋体"/>
                <w:sz w:val="18"/>
                <w:szCs w:val="18"/>
              </w:rPr>
            </w:pPr>
            <w:r>
              <w:rPr>
                <w:rFonts w:hint="eastAsia"/>
                <w:sz w:val="18"/>
                <w:szCs w:val="18"/>
              </w:rPr>
              <w:t>2</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S333（49省道）永嘉桥下至桥头段改建工程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160" w:lineRule="exact"/>
              <w:jc w:val="center"/>
              <w:rPr>
                <w:rFonts w:eastAsia="仿宋_GB2312"/>
                <w:sz w:val="16"/>
                <w:szCs w:val="16"/>
              </w:rPr>
            </w:pPr>
            <w:r>
              <w:rPr>
                <w:rFonts w:hint="eastAsia" w:eastAsia="仿宋_GB2312"/>
                <w:sz w:val="16"/>
                <w:szCs w:val="16"/>
              </w:rPr>
              <w:t>浙南</w:t>
            </w:r>
          </w:p>
        </w:tc>
        <w:tc>
          <w:tcPr>
            <w:tcW w:w="1997" w:type="dxa"/>
            <w:vAlign w:val="center"/>
          </w:tcPr>
          <w:p>
            <w:pPr>
              <w:spacing w:line="200" w:lineRule="exact"/>
              <w:rPr>
                <w:rFonts w:eastAsia="仿宋_GB2312"/>
                <w:sz w:val="16"/>
                <w:szCs w:val="16"/>
              </w:rPr>
            </w:pPr>
            <w:r>
              <w:rPr>
                <w:rFonts w:hint="eastAsia" w:eastAsia="仿宋_GB2312"/>
                <w:sz w:val="16"/>
                <w:szCs w:val="16"/>
              </w:rPr>
              <w:t>浙江合泰汽车科技有限公司汽车零部件项目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温州时尚智造小镇温州设计学院创意设计基地</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温岭至常山公路永嘉大若岩至巽宅段改建工程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市直单位</w:t>
            </w:r>
          </w:p>
        </w:tc>
        <w:tc>
          <w:tcPr>
            <w:tcW w:w="1997" w:type="dxa"/>
            <w:vAlign w:val="center"/>
          </w:tcPr>
          <w:p>
            <w:pPr>
              <w:spacing w:line="200" w:lineRule="exact"/>
              <w:rPr>
                <w:rFonts w:eastAsia="仿宋_GB2312"/>
                <w:sz w:val="16"/>
                <w:szCs w:val="16"/>
              </w:rPr>
            </w:pPr>
            <w:r>
              <w:rPr>
                <w:rFonts w:hint="eastAsia" w:eastAsia="仿宋_GB2312"/>
                <w:sz w:val="16"/>
                <w:szCs w:val="16"/>
              </w:rPr>
              <w:t>溧阳至宁德高速公路（G4012）浙江景宁至文成段（文成段）</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温州健康产业创新中心</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永嘉县水门路工程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温州市动车南站西广场道路及配套工程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hint="eastAsia" w:eastAsia="仿宋_GB2312"/>
                <w:sz w:val="16"/>
                <w:szCs w:val="16"/>
              </w:rPr>
              <w:t>洞头区</w:t>
            </w:r>
          </w:p>
        </w:tc>
        <w:tc>
          <w:tcPr>
            <w:tcW w:w="2024" w:type="dxa"/>
            <w:vAlign w:val="center"/>
          </w:tcPr>
          <w:p>
            <w:pPr>
              <w:spacing w:line="200" w:lineRule="exact"/>
              <w:rPr>
                <w:rFonts w:eastAsia="仿宋_GB2312"/>
                <w:sz w:val="16"/>
                <w:szCs w:val="16"/>
              </w:rPr>
            </w:pPr>
            <w:r>
              <w:rPr>
                <w:rFonts w:hint="eastAsia" w:eastAsia="仿宋_GB2312"/>
                <w:sz w:val="16"/>
                <w:szCs w:val="16"/>
              </w:rPr>
              <w:t>紫菜现代产业园</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永嘉县职业教育中心一期工程</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双龙路（南浦路-龙方路段）一期道路桥梁工程</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温州交通城建工业化生产基地</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永嘉县桥头镇菇溪河道综合治理六期工程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温州市龟湖街坊建设工程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诚意药业医药健康产业园</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p>
        </w:tc>
        <w:tc>
          <w:tcPr>
            <w:tcW w:w="567" w:type="dxa"/>
            <w:vAlign w:val="center"/>
          </w:tcPr>
          <w:p>
            <w:pPr>
              <w:spacing w:line="200" w:lineRule="exact"/>
              <w:jc w:val="center"/>
              <w:rPr>
                <w:rFonts w:eastAsia="仿宋_GB2312"/>
                <w:sz w:val="16"/>
                <w:szCs w:val="16"/>
              </w:rPr>
            </w:pPr>
          </w:p>
        </w:tc>
        <w:tc>
          <w:tcPr>
            <w:tcW w:w="411" w:type="dxa"/>
            <w:tcBorders>
              <w:right w:val="double" w:color="auto" w:sz="4" w:space="0"/>
            </w:tcBorders>
            <w:vAlign w:val="center"/>
          </w:tcPr>
          <w:p>
            <w:pPr>
              <w:spacing w:line="200" w:lineRule="exact"/>
              <w:jc w:val="center"/>
              <w:rPr>
                <w:rFonts w:eastAsia="仿宋_GB2312"/>
                <w:sz w:val="16"/>
                <w:szCs w:val="16"/>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温州奥林匹克体育中心-主体育场二期工程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bl>
    <w:p>
      <w:pPr>
        <w:spacing w:line="200" w:lineRule="exact"/>
        <w:rPr>
          <w:rFonts w:eastAsia="黑体"/>
          <w:szCs w:val="21"/>
        </w:rPr>
      </w:pPr>
    </w:p>
    <w:p>
      <w:pPr>
        <w:spacing w:line="600" w:lineRule="exact"/>
        <w:jc w:val="left"/>
        <w:rPr>
          <w:rFonts w:eastAsia="黑体"/>
          <w:sz w:val="36"/>
          <w:szCs w:val="36"/>
        </w:rPr>
      </w:pPr>
      <w:r>
        <w:rPr>
          <w:rFonts w:hint="eastAsia" w:eastAsia="黑体"/>
          <w:sz w:val="32"/>
          <w:szCs w:val="32"/>
        </w:rPr>
        <w:t>附件6</w:t>
      </w:r>
    </w:p>
    <w:p>
      <w:pPr>
        <w:spacing w:afterLines="50" w:line="600" w:lineRule="exact"/>
        <w:jc w:val="center"/>
        <w:rPr>
          <w:rFonts w:eastAsia="方正小标宋简体"/>
          <w:sz w:val="36"/>
          <w:szCs w:val="36"/>
        </w:rPr>
      </w:pPr>
      <w:r>
        <w:rPr>
          <w:rFonts w:hint="eastAsia" w:eastAsia="方正小标宋简体"/>
          <w:sz w:val="36"/>
          <w:szCs w:val="36"/>
        </w:rPr>
        <w:t>市四套班子领导挂钩联系重大项目完成情况表</w:t>
      </w:r>
      <w:r>
        <w:rPr>
          <w:rFonts w:hint="eastAsia" w:eastAsia="楷体_GB2312"/>
          <w:sz w:val="32"/>
          <w:szCs w:val="32"/>
        </w:rPr>
        <w:t>（1-9月）</w:t>
      </w:r>
    </w:p>
    <w:p>
      <w:pPr>
        <w:spacing w:line="300" w:lineRule="exact"/>
        <w:ind w:right="210"/>
        <w:jc w:val="right"/>
        <w:rPr>
          <w:rFonts w:eastAsia="楷体_GB2312"/>
          <w:szCs w:val="21"/>
        </w:rPr>
      </w:pPr>
      <w:r>
        <w:rPr>
          <w:rFonts w:hint="eastAsia" w:eastAsia="楷体_GB2312"/>
          <w:szCs w:val="21"/>
        </w:rPr>
        <w:t>单位：亿元、%</w:t>
      </w:r>
    </w:p>
    <w:tbl>
      <w:tblPr>
        <w:tblStyle w:val="8"/>
        <w:tblW w:w="10046" w:type="dxa"/>
        <w:jc w:val="center"/>
        <w:tblLayout w:type="fixed"/>
        <w:tblCellMar>
          <w:top w:w="0" w:type="dxa"/>
          <w:left w:w="108" w:type="dxa"/>
          <w:bottom w:w="0" w:type="dxa"/>
          <w:right w:w="108" w:type="dxa"/>
        </w:tblCellMar>
      </w:tblPr>
      <w:tblGrid>
        <w:gridCol w:w="416"/>
        <w:gridCol w:w="1580"/>
        <w:gridCol w:w="750"/>
        <w:gridCol w:w="638"/>
        <w:gridCol w:w="3260"/>
        <w:gridCol w:w="3402"/>
      </w:tblGrid>
      <w:tr>
        <w:tblPrEx>
          <w:tblCellMar>
            <w:top w:w="0" w:type="dxa"/>
            <w:left w:w="108" w:type="dxa"/>
            <w:bottom w:w="0" w:type="dxa"/>
            <w:right w:w="108" w:type="dxa"/>
          </w:tblCellMar>
        </w:tblPrEx>
        <w:trPr>
          <w:trHeight w:val="270" w:hRule="atLeast"/>
          <w:tblHeader/>
          <w:jc w:val="center"/>
        </w:trPr>
        <w:tc>
          <w:tcPr>
            <w:tcW w:w="4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序号</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项目名称</w:t>
            </w:r>
          </w:p>
        </w:tc>
        <w:tc>
          <w:tcPr>
            <w:tcW w:w="13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投资额情况</w:t>
            </w:r>
          </w:p>
        </w:tc>
        <w:tc>
          <w:tcPr>
            <w:tcW w:w="66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形象进度情况</w:t>
            </w:r>
          </w:p>
        </w:tc>
      </w:tr>
      <w:tr>
        <w:tblPrEx>
          <w:tblCellMar>
            <w:top w:w="0" w:type="dxa"/>
            <w:left w:w="108" w:type="dxa"/>
            <w:bottom w:w="0" w:type="dxa"/>
            <w:right w:w="108" w:type="dxa"/>
          </w:tblCellMar>
        </w:tblPrEx>
        <w:trPr>
          <w:trHeight w:val="270" w:hRule="atLeast"/>
          <w:tblHeader/>
          <w:jc w:val="center"/>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rPr>
            </w:pP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spacing w:val="15"/>
                <w:w w:val="75"/>
                <w:kern w:val="0"/>
                <w:sz w:val="18"/>
                <w:szCs w:val="18"/>
              </w:rPr>
            </w:pPr>
            <w:r>
              <w:rPr>
                <w:rFonts w:eastAsia="黑体"/>
                <w:color w:val="000000"/>
                <w:spacing w:val="15"/>
                <w:w w:val="75"/>
                <w:kern w:val="0"/>
                <w:sz w:val="18"/>
                <w:szCs w:val="18"/>
              </w:rPr>
              <w:t>年度</w:t>
            </w:r>
          </w:p>
          <w:p>
            <w:pPr>
              <w:widowControl/>
              <w:jc w:val="center"/>
              <w:rPr>
                <w:rFonts w:eastAsia="黑体"/>
                <w:color w:val="000000"/>
                <w:kern w:val="0"/>
                <w:sz w:val="18"/>
                <w:szCs w:val="18"/>
              </w:rPr>
            </w:pPr>
            <w:r>
              <w:rPr>
                <w:rFonts w:eastAsia="黑体"/>
                <w:color w:val="000000"/>
                <w:spacing w:val="15"/>
                <w:w w:val="75"/>
                <w:kern w:val="0"/>
                <w:sz w:val="18"/>
                <w:szCs w:val="18"/>
              </w:rPr>
              <w:t>计</w:t>
            </w:r>
            <w:r>
              <w:rPr>
                <w:rFonts w:eastAsia="黑体"/>
                <w:color w:val="000000"/>
                <w:spacing w:val="-15"/>
                <w:w w:val="75"/>
                <w:kern w:val="0"/>
                <w:sz w:val="18"/>
                <w:szCs w:val="18"/>
              </w:rPr>
              <w:t>划</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spacing w:val="0"/>
                <w:w w:val="75"/>
                <w:kern w:val="0"/>
                <w:sz w:val="18"/>
                <w:szCs w:val="18"/>
                <w:fitText w:val="405" w:id="1"/>
              </w:rPr>
              <w:t>完成率</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年度要求</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eastAsia="黑体"/>
                <w:kern w:val="0"/>
                <w:sz w:val="18"/>
                <w:szCs w:val="18"/>
              </w:rPr>
            </w:pPr>
            <w:r>
              <w:rPr>
                <w:rFonts w:eastAsia="黑体"/>
                <w:kern w:val="0"/>
                <w:sz w:val="18"/>
                <w:szCs w:val="18"/>
              </w:rPr>
              <w:t>9月止完成进度</w:t>
            </w:r>
          </w:p>
        </w:tc>
      </w:tr>
      <w:tr>
        <w:tblPrEx>
          <w:tblCellMar>
            <w:top w:w="0" w:type="dxa"/>
            <w:left w:w="108" w:type="dxa"/>
            <w:bottom w:w="0" w:type="dxa"/>
            <w:right w:w="108" w:type="dxa"/>
          </w:tblCellMar>
        </w:tblPrEx>
        <w:trPr>
          <w:trHeight w:val="120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55.9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完成S2线房屋拆迁约3.02万平方米，S2线上跨S1线临时用地审批；完成SG5标槽壁加固三轴搅拌桩、端头井加固三轴搅拌桩及管片预制厂建设，江北工作井施工</w:t>
            </w:r>
            <w:r>
              <w:rPr>
                <w:rFonts w:hint="eastAsia" w:eastAsia="仿宋_GB2312"/>
                <w:kern w:val="0"/>
                <w:sz w:val="18"/>
                <w:szCs w:val="18"/>
              </w:rPr>
              <w:t>中</w:t>
            </w:r>
            <w:r>
              <w:rPr>
                <w:rFonts w:eastAsia="仿宋_GB2312"/>
                <w:kern w:val="0"/>
                <w:sz w:val="18"/>
                <w:szCs w:val="18"/>
              </w:rPr>
              <w:t>。</w:t>
            </w:r>
          </w:p>
        </w:tc>
      </w:tr>
      <w:tr>
        <w:tblPrEx>
          <w:tblCellMar>
            <w:top w:w="0" w:type="dxa"/>
            <w:left w:w="108" w:type="dxa"/>
            <w:bottom w:w="0" w:type="dxa"/>
            <w:right w:w="108" w:type="dxa"/>
          </w:tblCellMar>
        </w:tblPrEx>
        <w:trPr>
          <w:trHeight w:val="82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103.6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跨线桥、主体项目（市政、景观、建筑立面）全面施工中。</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2.45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hint="eastAsia" w:ascii="宋体" w:hAnsi="宋体" w:cs="宋体"/>
                <w:color w:val="000000"/>
                <w:kern w:val="0"/>
                <w:sz w:val="18"/>
                <w:szCs w:val="18"/>
              </w:rPr>
              <w:t>Ⅰ</w:t>
            </w:r>
            <w:r>
              <w:rPr>
                <w:rFonts w:eastAsia="仿宋_GB2312"/>
                <w:color w:val="000000"/>
                <w:kern w:val="0"/>
                <w:sz w:val="18"/>
                <w:szCs w:val="18"/>
              </w:rPr>
              <w:t>工区完成50%的主体工程，</w:t>
            </w:r>
            <w:r>
              <w:rPr>
                <w:rFonts w:hint="eastAsia" w:ascii="宋体" w:hAnsi="宋体" w:cs="宋体"/>
                <w:color w:val="000000"/>
                <w:kern w:val="0"/>
                <w:sz w:val="18"/>
                <w:szCs w:val="18"/>
              </w:rPr>
              <w:t>Ⅱ</w:t>
            </w:r>
            <w:r>
              <w:rPr>
                <w:rFonts w:eastAsia="仿宋_GB2312"/>
                <w:color w:val="000000"/>
                <w:kern w:val="0"/>
                <w:sz w:val="18"/>
                <w:szCs w:val="18"/>
              </w:rPr>
              <w:t>、</w:t>
            </w:r>
            <w:r>
              <w:rPr>
                <w:rFonts w:hint="eastAsia" w:ascii="宋体" w:hAnsi="宋体" w:cs="宋体"/>
                <w:color w:val="000000"/>
                <w:kern w:val="0"/>
                <w:sz w:val="18"/>
                <w:szCs w:val="18"/>
              </w:rPr>
              <w:t>Ⅲ</w:t>
            </w:r>
            <w:r>
              <w:rPr>
                <w:rFonts w:eastAsia="仿宋_GB2312"/>
                <w:color w:val="000000"/>
                <w:kern w:val="0"/>
                <w:sz w:val="18"/>
                <w:szCs w:val="18"/>
              </w:rPr>
              <w:t>工区完成主体工程建设，</w:t>
            </w:r>
            <w:r>
              <w:rPr>
                <w:rFonts w:hint="eastAsia" w:ascii="宋体" w:hAnsi="宋体" w:cs="宋体"/>
                <w:color w:val="000000"/>
                <w:kern w:val="0"/>
                <w:sz w:val="18"/>
                <w:szCs w:val="18"/>
              </w:rPr>
              <w:t>Ⅳ</w:t>
            </w:r>
            <w:r>
              <w:rPr>
                <w:rFonts w:eastAsia="仿宋_GB2312"/>
                <w:color w:val="000000"/>
                <w:kern w:val="0"/>
                <w:sz w:val="18"/>
                <w:szCs w:val="18"/>
              </w:rPr>
              <w:t>工区完成景观绿化。</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hint="eastAsia" w:cs="宋体"/>
                <w:kern w:val="0"/>
                <w:sz w:val="18"/>
                <w:szCs w:val="18"/>
              </w:rPr>
              <w:t>Ⅰ</w:t>
            </w:r>
            <w:r>
              <w:rPr>
                <w:rFonts w:eastAsia="仿宋_GB2312"/>
                <w:kern w:val="0"/>
                <w:sz w:val="18"/>
                <w:szCs w:val="18"/>
              </w:rPr>
              <w:t>、</w:t>
            </w:r>
            <w:r>
              <w:rPr>
                <w:rFonts w:hint="eastAsia" w:cs="宋体"/>
                <w:kern w:val="0"/>
                <w:sz w:val="18"/>
                <w:szCs w:val="18"/>
              </w:rPr>
              <w:t>Ⅱ</w:t>
            </w:r>
            <w:r>
              <w:rPr>
                <w:rFonts w:eastAsia="仿宋_GB2312"/>
                <w:kern w:val="0"/>
                <w:sz w:val="18"/>
                <w:szCs w:val="18"/>
              </w:rPr>
              <w:t>、</w:t>
            </w:r>
            <w:r>
              <w:rPr>
                <w:rFonts w:hint="eastAsia" w:cs="宋体"/>
                <w:kern w:val="0"/>
                <w:sz w:val="18"/>
                <w:szCs w:val="18"/>
              </w:rPr>
              <w:t>Ⅲ</w:t>
            </w:r>
            <w:r>
              <w:rPr>
                <w:rFonts w:eastAsia="仿宋_GB2312"/>
                <w:kern w:val="0"/>
                <w:sz w:val="18"/>
                <w:szCs w:val="18"/>
              </w:rPr>
              <w:t>区段顺利通过单位工程暨合同工程完工验收；</w:t>
            </w:r>
            <w:r>
              <w:rPr>
                <w:rFonts w:hint="eastAsia" w:cs="宋体"/>
                <w:kern w:val="0"/>
                <w:sz w:val="18"/>
                <w:szCs w:val="18"/>
              </w:rPr>
              <w:t>Ⅳ</w:t>
            </w:r>
            <w:r>
              <w:rPr>
                <w:rFonts w:eastAsia="仿宋_GB2312"/>
                <w:kern w:val="0"/>
                <w:sz w:val="18"/>
                <w:szCs w:val="18"/>
              </w:rPr>
              <w:t>区段完成海塘及景观工程。</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瑞浦能源动力电池产业园*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一期2栋生产车间主体结顶，研发办公楼和宿舍楼主体建设中。</w:t>
            </w:r>
          </w:p>
        </w:tc>
      </w:tr>
      <w:tr>
        <w:tblPrEx>
          <w:tblCellMar>
            <w:top w:w="0" w:type="dxa"/>
            <w:left w:w="108" w:type="dxa"/>
            <w:bottom w:w="0" w:type="dxa"/>
            <w:right w:w="108" w:type="dxa"/>
          </w:tblCellMar>
        </w:tblPrEx>
        <w:trPr>
          <w:trHeight w:val="831"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乐清湾港区铁路支线*</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12月完工，施工基本完成，具备通车条件。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全线工点开工97个。完成</w:t>
            </w:r>
            <w:r>
              <w:rPr>
                <w:rFonts w:hint="eastAsia" w:eastAsia="仿宋_GB2312"/>
                <w:kern w:val="0"/>
                <w:sz w:val="18"/>
                <w:szCs w:val="18"/>
              </w:rPr>
              <w:t>桥梁</w:t>
            </w:r>
            <w:r>
              <w:rPr>
                <w:rFonts w:eastAsia="仿宋_GB2312"/>
                <w:kern w:val="0"/>
                <w:sz w:val="18"/>
                <w:szCs w:val="18"/>
              </w:rPr>
              <w:t>96.4%，隧道99.3%，路基土石方83.1%，绅坊站房建工程60%；架设T梁36孔，正线铺轨1872米。</w:t>
            </w:r>
          </w:p>
        </w:tc>
      </w:tr>
      <w:tr>
        <w:tblPrEx>
          <w:tblCellMar>
            <w:top w:w="0" w:type="dxa"/>
            <w:left w:w="108" w:type="dxa"/>
            <w:bottom w:w="0" w:type="dxa"/>
            <w:right w:w="108" w:type="dxa"/>
          </w:tblCellMar>
        </w:tblPrEx>
        <w:trPr>
          <w:trHeight w:val="731"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温州浙南科技城创新创业新天地项目*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61.2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完成一期1号楼5-6层墙体粉刷，2号楼屋面找坡，3号楼南面背衬板安装；二期4号楼、5号楼二层钢梁吊装。</w:t>
            </w:r>
          </w:p>
        </w:tc>
      </w:tr>
      <w:tr>
        <w:tblPrEx>
          <w:tblCellMar>
            <w:top w:w="0" w:type="dxa"/>
            <w:left w:w="108" w:type="dxa"/>
            <w:bottom w:w="0" w:type="dxa"/>
            <w:right w:w="108" w:type="dxa"/>
          </w:tblCellMar>
        </w:tblPrEx>
        <w:trPr>
          <w:trHeight w:val="1474"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年内控制性工程开工，力争全线开工。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完成初步设计、防洪、环评、水保等专题批复，全线土地勘查定界报告，控制性工程施工图审查，PPP投资合同签订；展开土地报批组建、全线施工图审查等相关工作。</w:t>
            </w:r>
          </w:p>
        </w:tc>
      </w:tr>
      <w:tr>
        <w:tblPrEx>
          <w:tblCellMar>
            <w:top w:w="0" w:type="dxa"/>
            <w:left w:w="108" w:type="dxa"/>
            <w:bottom w:w="0" w:type="dxa"/>
            <w:right w:w="108" w:type="dxa"/>
          </w:tblCellMar>
        </w:tblPrEx>
        <w:trPr>
          <w:trHeight w:val="914"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温州市七都大桥北汊桥</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70.1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完成北岸承台立柱10%，水中桩70%；南岸第三联箱梁施工。</w:t>
            </w:r>
          </w:p>
        </w:tc>
      </w:tr>
      <w:tr>
        <w:tblPrEx>
          <w:tblCellMar>
            <w:top w:w="0" w:type="dxa"/>
            <w:left w:w="108" w:type="dxa"/>
            <w:bottom w:w="0" w:type="dxa"/>
            <w:right w:w="108" w:type="dxa"/>
          </w:tblCellMar>
        </w:tblPrEx>
        <w:trPr>
          <w:trHeight w:val="63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中石化温州液化天然气（LNG）项目（含场平工程）*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56.6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开展剩余石料处置，有序退场。</w:t>
            </w:r>
          </w:p>
        </w:tc>
      </w:tr>
      <w:tr>
        <w:tblPrEx>
          <w:tblCellMar>
            <w:top w:w="0" w:type="dxa"/>
            <w:left w:w="108" w:type="dxa"/>
            <w:bottom w:w="0" w:type="dxa"/>
            <w:right w:w="108" w:type="dxa"/>
          </w:tblCellMar>
        </w:tblPrEx>
        <w:trPr>
          <w:trHeight w:val="431"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157.8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完成桩基施工。</w:t>
            </w:r>
          </w:p>
        </w:tc>
      </w:tr>
      <w:tr>
        <w:tblPrEx>
          <w:tblCellMar>
            <w:top w:w="0" w:type="dxa"/>
            <w:left w:w="108" w:type="dxa"/>
            <w:bottom w:w="0" w:type="dxa"/>
            <w:right w:w="108" w:type="dxa"/>
          </w:tblCellMar>
        </w:tblPrEx>
        <w:trPr>
          <w:trHeight w:val="241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120.4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场平工程：完成1#核岛及周边区域开挖量112%，A2回填区115.4%，C区回填区117%；C2区第一、二遍满夯完成7100</w:t>
            </w:r>
            <w:r>
              <w:rPr>
                <w:kern w:val="0"/>
                <w:sz w:val="18"/>
                <w:szCs w:val="18"/>
              </w:rPr>
              <w:t>㎡</w:t>
            </w:r>
            <w:r>
              <w:rPr>
                <w:rFonts w:eastAsia="仿宋_GB2312"/>
                <w:kern w:val="0"/>
                <w:sz w:val="18"/>
                <w:szCs w:val="18"/>
              </w:rPr>
              <w:t>。进场道路：温厝隧道掘进1173m，温厝隧道二次衬砌施工988m。</w:t>
            </w:r>
          </w:p>
        </w:tc>
      </w:tr>
      <w:tr>
        <w:tblPrEx>
          <w:tblCellMar>
            <w:top w:w="0" w:type="dxa"/>
            <w:left w:w="108" w:type="dxa"/>
            <w:bottom w:w="0" w:type="dxa"/>
            <w:right w:w="108" w:type="dxa"/>
          </w:tblCellMar>
        </w:tblPrEx>
        <w:trPr>
          <w:trHeight w:val="2264"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温州生态园三</w:t>
            </w:r>
            <w:r>
              <w:rPr>
                <w:color w:val="000000"/>
                <w:kern w:val="0"/>
                <w:sz w:val="18"/>
                <w:szCs w:val="18"/>
              </w:rPr>
              <w:t>垟</w:t>
            </w:r>
            <w:r>
              <w:rPr>
                <w:rFonts w:eastAsia="仿宋_GB2312"/>
                <w:color w:val="000000"/>
                <w:kern w:val="0"/>
                <w:sz w:val="18"/>
                <w:szCs w:val="18"/>
              </w:rPr>
              <w:t>城市湿地公园建设工程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77.3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10月初步开园，完成南仙堤景观建设工程等8个初步开园项目，新开工保育区生态重建工程、城市休闲片区生态园建设工程等项目。</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完成湿地南仙堤景观项目建设；五福源榕树园及景观、三</w:t>
            </w:r>
            <w:r>
              <w:rPr>
                <w:kern w:val="0"/>
                <w:sz w:val="18"/>
                <w:szCs w:val="18"/>
              </w:rPr>
              <w:t>垟</w:t>
            </w:r>
            <w:r>
              <w:rPr>
                <w:rFonts w:eastAsia="仿宋_GB2312"/>
                <w:kern w:val="0"/>
                <w:sz w:val="18"/>
                <w:szCs w:val="18"/>
              </w:rPr>
              <w:t>湿地北部片区西段(张家桥-北入口）生态建设等2个项目基本完工，处于扫尾阶段；三</w:t>
            </w:r>
            <w:r>
              <w:rPr>
                <w:kern w:val="0"/>
                <w:sz w:val="18"/>
                <w:szCs w:val="18"/>
              </w:rPr>
              <w:t>垟</w:t>
            </w:r>
            <w:r>
              <w:rPr>
                <w:rFonts w:eastAsia="仿宋_GB2312"/>
                <w:kern w:val="0"/>
                <w:sz w:val="18"/>
                <w:szCs w:val="18"/>
              </w:rPr>
              <w:t>湿地一期主环线园路等12个项目继续施工；生态保育区完成施工招投标；城市休闲片区生态建设工程一期完成施工图审查备案，二期处于优化初步设计阶段；西出入口改造提升处于优化方案阶段；西北入口工处于施工图内审阶段。</w:t>
            </w:r>
          </w:p>
        </w:tc>
      </w:tr>
      <w:tr>
        <w:tblPrEx>
          <w:tblCellMar>
            <w:top w:w="0" w:type="dxa"/>
            <w:left w:w="108" w:type="dxa"/>
            <w:bottom w:w="0" w:type="dxa"/>
            <w:right w:w="108" w:type="dxa"/>
          </w:tblCellMar>
        </w:tblPrEx>
        <w:trPr>
          <w:trHeight w:val="81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eastAsia="仿宋_GB2312"/>
                <w:color w:val="000000"/>
                <w:kern w:val="0"/>
                <w:sz w:val="18"/>
                <w:szCs w:val="18"/>
              </w:rPr>
              <w:t>平原排涝工程（苍南一期）</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完成PPP入库、工可批复、工程初设编制。</w:t>
            </w:r>
          </w:p>
        </w:tc>
      </w:tr>
      <w:tr>
        <w:tblPrEx>
          <w:tblCellMar>
            <w:top w:w="0" w:type="dxa"/>
            <w:left w:w="108" w:type="dxa"/>
            <w:bottom w:w="0" w:type="dxa"/>
            <w:right w:w="108" w:type="dxa"/>
          </w:tblCellMar>
        </w:tblPrEx>
        <w:trPr>
          <w:trHeight w:val="126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一区完成结顶1栋，仓库结顶1栋，其余建设中；二区正在基础建设；三区完成3栋3层；四区主体工程结束，进行主体附属工程建设；五区试压</w:t>
            </w:r>
            <w:r>
              <w:rPr>
                <w:rFonts w:hint="eastAsia" w:eastAsia="仿宋_GB2312"/>
                <w:kern w:val="0"/>
                <w:sz w:val="18"/>
                <w:szCs w:val="18"/>
              </w:rPr>
              <w:t>中</w:t>
            </w:r>
            <w:r>
              <w:rPr>
                <w:rFonts w:eastAsia="仿宋_GB2312"/>
                <w:kern w:val="0"/>
                <w:sz w:val="18"/>
                <w:szCs w:val="18"/>
              </w:rPr>
              <w:t>；六区（A1地块）</w:t>
            </w:r>
            <w:r>
              <w:rPr>
                <w:rFonts w:hint="eastAsia" w:eastAsia="仿宋_GB2312"/>
                <w:kern w:val="0"/>
                <w:sz w:val="18"/>
                <w:szCs w:val="18"/>
              </w:rPr>
              <w:t>进行</w:t>
            </w:r>
            <w:r>
              <w:rPr>
                <w:rFonts w:eastAsia="仿宋_GB2312"/>
                <w:kern w:val="0"/>
                <w:sz w:val="18"/>
                <w:szCs w:val="18"/>
              </w:rPr>
              <w:t>基础工程建设。</w:t>
            </w:r>
          </w:p>
        </w:tc>
      </w:tr>
      <w:tr>
        <w:tblPrEx>
          <w:tblCellMar>
            <w:top w:w="0" w:type="dxa"/>
            <w:left w:w="108" w:type="dxa"/>
            <w:bottom w:w="0" w:type="dxa"/>
            <w:right w:w="108" w:type="dxa"/>
          </w:tblCellMar>
        </w:tblPrEx>
        <w:trPr>
          <w:trHeight w:val="73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89.4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完成打桩，基础开挖16幢，基础完工10幢，完成建筑面积约3万平米。</w:t>
            </w:r>
          </w:p>
        </w:tc>
      </w:tr>
      <w:tr>
        <w:tblPrEx>
          <w:tblCellMar>
            <w:top w:w="0" w:type="dxa"/>
            <w:left w:w="108" w:type="dxa"/>
            <w:bottom w:w="0" w:type="dxa"/>
            <w:right w:w="108" w:type="dxa"/>
          </w:tblCellMar>
        </w:tblPrEx>
        <w:trPr>
          <w:trHeight w:val="5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温州健康产业创新中心</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7#楼地下室施工。</w:t>
            </w:r>
          </w:p>
        </w:tc>
      </w:tr>
      <w:tr>
        <w:tblPrEx>
          <w:tblCellMar>
            <w:top w:w="0" w:type="dxa"/>
            <w:left w:w="108" w:type="dxa"/>
            <w:bottom w:w="0" w:type="dxa"/>
            <w:right w:w="108" w:type="dxa"/>
          </w:tblCellMar>
        </w:tblPrEx>
        <w:trPr>
          <w:trHeight w:val="83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114.1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B-11a地块主体结构完成25-28层；B-15地块主体结构完成5-8层；B-17b、B-18a地块地下室结构完工。</w:t>
            </w:r>
          </w:p>
        </w:tc>
      </w:tr>
      <w:tr>
        <w:tblPrEx>
          <w:tblCellMar>
            <w:top w:w="0" w:type="dxa"/>
            <w:left w:w="108" w:type="dxa"/>
            <w:bottom w:w="0" w:type="dxa"/>
            <w:right w:w="108" w:type="dxa"/>
          </w:tblCellMar>
        </w:tblPrEx>
        <w:trPr>
          <w:trHeight w:val="80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195.3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eastAsia="仿宋_GB2312"/>
                <w:color w:val="000000"/>
                <w:kern w:val="0"/>
                <w:sz w:val="18"/>
                <w:szCs w:val="18"/>
              </w:rPr>
              <w:t>；隧道、桥梁等控制性工程全面开工。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完成路基7%，桥梁7%，隧道工程7%。</w:t>
            </w:r>
          </w:p>
        </w:tc>
      </w:tr>
      <w:tr>
        <w:tblPrEx>
          <w:tblCellMar>
            <w:top w:w="0" w:type="dxa"/>
            <w:left w:w="108" w:type="dxa"/>
            <w:bottom w:w="0" w:type="dxa"/>
            <w:right w:w="108" w:type="dxa"/>
          </w:tblCellMar>
        </w:tblPrEx>
        <w:trPr>
          <w:trHeight w:val="846"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196.2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4月开工。项目部建设；上报土地审批手续及办理施工许可证；拆迁2万</w:t>
            </w:r>
            <w:r>
              <w:rPr>
                <w:color w:val="000000"/>
                <w:kern w:val="0"/>
                <w:sz w:val="18"/>
                <w:szCs w:val="18"/>
              </w:rPr>
              <w:t>㎡</w:t>
            </w:r>
            <w:r>
              <w:rPr>
                <w:rFonts w:eastAsia="仿宋_GB2312"/>
                <w:color w:val="000000"/>
                <w:kern w:val="0"/>
                <w:sz w:val="18"/>
                <w:szCs w:val="18"/>
              </w:rPr>
              <w:t>；控制点（隧道、桥梁）等开工。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完成桥梁7%，隧道工程7%，路基7%。</w:t>
            </w:r>
          </w:p>
        </w:tc>
      </w:tr>
      <w:tr>
        <w:tblPrEx>
          <w:tblCellMar>
            <w:top w:w="0" w:type="dxa"/>
            <w:left w:w="108" w:type="dxa"/>
            <w:bottom w:w="0" w:type="dxa"/>
            <w:right w:w="108" w:type="dxa"/>
          </w:tblCellMar>
        </w:tblPrEx>
        <w:trPr>
          <w:trHeight w:val="139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76.0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珠岙轻工园完成主体验收</w:t>
            </w:r>
            <w:r>
              <w:rPr>
                <w:rFonts w:hint="eastAsia" w:eastAsia="仿宋_GB2312"/>
                <w:kern w:val="0"/>
                <w:sz w:val="18"/>
                <w:szCs w:val="18"/>
              </w:rPr>
              <w:t>、</w:t>
            </w:r>
            <w:r>
              <w:rPr>
                <w:rFonts w:eastAsia="仿宋_GB2312"/>
                <w:kern w:val="0"/>
                <w:sz w:val="18"/>
                <w:szCs w:val="18"/>
              </w:rPr>
              <w:t>幕墙</w:t>
            </w:r>
            <w:r>
              <w:rPr>
                <w:rFonts w:hint="eastAsia" w:eastAsia="仿宋_GB2312"/>
                <w:kern w:val="0"/>
                <w:sz w:val="18"/>
                <w:szCs w:val="18"/>
              </w:rPr>
              <w:t>，完成</w:t>
            </w:r>
            <w:r>
              <w:rPr>
                <w:rFonts w:eastAsia="仿宋_GB2312"/>
                <w:kern w:val="0"/>
                <w:sz w:val="18"/>
                <w:szCs w:val="18"/>
              </w:rPr>
              <w:t>附属工程60%、电梯安装80%。珠岙流程园有4幢室内水电、门窗安装，有3幢主体施工，有1幢打桩。罗浮流程园桩基进场施工。塘头铸造园场地平整。</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初步设计已批复，开展政策处理工作。</w:t>
            </w:r>
          </w:p>
        </w:tc>
      </w:tr>
      <w:tr>
        <w:tblPrEx>
          <w:tblCellMar>
            <w:top w:w="0" w:type="dxa"/>
            <w:left w:w="108" w:type="dxa"/>
            <w:bottom w:w="0" w:type="dxa"/>
            <w:right w:w="108" w:type="dxa"/>
          </w:tblCellMar>
        </w:tblPrEx>
        <w:trPr>
          <w:trHeight w:val="57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桩基施工阶段。</w:t>
            </w:r>
          </w:p>
        </w:tc>
      </w:tr>
      <w:tr>
        <w:tblPrEx>
          <w:tblCellMar>
            <w:top w:w="0" w:type="dxa"/>
            <w:left w:w="108" w:type="dxa"/>
            <w:bottom w:w="0" w:type="dxa"/>
            <w:right w:w="108" w:type="dxa"/>
          </w:tblCellMar>
        </w:tblPrEx>
        <w:trPr>
          <w:trHeight w:val="1374"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113.4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完成工程量约82%，一期(用地73亩)厂房结顶</w:t>
            </w:r>
            <w:r>
              <w:rPr>
                <w:rFonts w:hint="eastAsia" w:eastAsia="仿宋_GB2312"/>
                <w:kern w:val="0"/>
                <w:sz w:val="18"/>
                <w:szCs w:val="18"/>
              </w:rPr>
              <w:t>，</w:t>
            </w:r>
            <w:r>
              <w:rPr>
                <w:rFonts w:eastAsia="仿宋_GB2312"/>
                <w:kern w:val="0"/>
                <w:sz w:val="18"/>
                <w:szCs w:val="18"/>
              </w:rPr>
              <w:t>二期(用地35亩)配套办公区主体结顶</w:t>
            </w:r>
            <w:r>
              <w:rPr>
                <w:rFonts w:hint="eastAsia" w:eastAsia="仿宋_GB2312"/>
                <w:kern w:val="0"/>
                <w:sz w:val="18"/>
                <w:szCs w:val="18"/>
              </w:rPr>
              <w:t>，</w:t>
            </w:r>
            <w:r>
              <w:rPr>
                <w:rFonts w:eastAsia="仿宋_GB2312"/>
                <w:kern w:val="0"/>
                <w:sz w:val="18"/>
                <w:szCs w:val="18"/>
              </w:rPr>
              <w:t>生产区基础浇筑完成。</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完成总体8.8%，路基1%，桥梁0%，隧道0%，其他费用55.7%。</w:t>
            </w:r>
          </w:p>
        </w:tc>
      </w:tr>
      <w:tr>
        <w:tblPrEx>
          <w:tblCellMar>
            <w:top w:w="0" w:type="dxa"/>
            <w:left w:w="108" w:type="dxa"/>
            <w:bottom w:w="0" w:type="dxa"/>
            <w:right w:w="108" w:type="dxa"/>
          </w:tblCellMar>
        </w:tblPrEx>
        <w:trPr>
          <w:trHeight w:val="883"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文成县下沙</w:t>
            </w:r>
            <w:r>
              <w:rPr>
                <w:color w:val="000000"/>
                <w:kern w:val="0"/>
                <w:sz w:val="18"/>
                <w:szCs w:val="18"/>
              </w:rPr>
              <w:t>垟</w:t>
            </w:r>
            <w:r>
              <w:rPr>
                <w:rFonts w:eastAsia="仿宋_GB2312"/>
                <w:color w:val="000000"/>
                <w:kern w:val="0"/>
                <w:sz w:val="18"/>
                <w:szCs w:val="18"/>
              </w:rPr>
              <w:t>城中村项目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36.4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完成土方外运工程量65%，边坡削坡工程量65%，边坡锚杆工程量33%</w:t>
            </w:r>
            <w:r>
              <w:rPr>
                <w:rFonts w:hint="eastAsia" w:eastAsia="仿宋_GB2312"/>
                <w:kern w:val="0"/>
                <w:sz w:val="18"/>
                <w:szCs w:val="18"/>
              </w:rPr>
              <w:t>，</w:t>
            </w:r>
            <w:r>
              <w:rPr>
                <w:rFonts w:eastAsia="仿宋_GB2312"/>
                <w:kern w:val="0"/>
                <w:sz w:val="18"/>
                <w:szCs w:val="18"/>
              </w:rPr>
              <w:t>格沟梁工程量30%，边坡抗滑桩工程量20%。</w:t>
            </w:r>
          </w:p>
        </w:tc>
      </w:tr>
      <w:tr>
        <w:tblPrEx>
          <w:tblCellMar>
            <w:top w:w="0" w:type="dxa"/>
            <w:left w:w="108" w:type="dxa"/>
            <w:bottom w:w="0" w:type="dxa"/>
            <w:right w:w="108" w:type="dxa"/>
          </w:tblCellMar>
        </w:tblPrEx>
        <w:trPr>
          <w:trHeight w:val="1326"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完成2#工区临时炸药库改扩建</w:t>
            </w:r>
            <w:r>
              <w:rPr>
                <w:rFonts w:hint="eastAsia" w:eastAsia="仿宋_GB2312"/>
                <w:kern w:val="0"/>
                <w:sz w:val="18"/>
                <w:szCs w:val="18"/>
              </w:rPr>
              <w:t>，</w:t>
            </w:r>
            <w:r>
              <w:rPr>
                <w:rFonts w:eastAsia="仿宋_GB2312"/>
                <w:kern w:val="0"/>
                <w:sz w:val="18"/>
                <w:szCs w:val="18"/>
              </w:rPr>
              <w:t>1#施工支洞洞脸支护，3#工区场地回填及道路硬化，3#工区临时炸药库，2#施工支洞0+074.6～0+120段洞身开挖，0+075-0+112段洞身一次系统支护。</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91.8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完成路基工程41.2%，桥梁工程桩基14根，隧洞进尺178米。</w:t>
            </w:r>
          </w:p>
        </w:tc>
      </w:tr>
      <w:tr>
        <w:tblPrEx>
          <w:tblCellMar>
            <w:top w:w="0" w:type="dxa"/>
            <w:left w:w="108" w:type="dxa"/>
            <w:bottom w:w="0" w:type="dxa"/>
            <w:right w:w="108" w:type="dxa"/>
          </w:tblCellMar>
        </w:tblPrEx>
        <w:trPr>
          <w:trHeight w:val="1237"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137.7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一期结构封顶，二期打桩完成1/2。</w:t>
            </w:r>
          </w:p>
        </w:tc>
      </w:tr>
      <w:tr>
        <w:tblPrEx>
          <w:tblCellMar>
            <w:top w:w="0" w:type="dxa"/>
            <w:left w:w="108" w:type="dxa"/>
            <w:bottom w:w="0" w:type="dxa"/>
            <w:right w:w="108" w:type="dxa"/>
          </w:tblCellMar>
        </w:tblPrEx>
        <w:trPr>
          <w:trHeight w:val="427"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虹桥电子信息产业园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66.7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三通一平完成，五家企业完成方案设计。</w:t>
            </w:r>
          </w:p>
        </w:tc>
      </w:tr>
      <w:tr>
        <w:tblPrEx>
          <w:tblCellMar>
            <w:top w:w="0" w:type="dxa"/>
            <w:left w:w="108" w:type="dxa"/>
            <w:bottom w:w="0" w:type="dxa"/>
            <w:right w:w="108" w:type="dxa"/>
          </w:tblCellMar>
        </w:tblPrEx>
        <w:trPr>
          <w:trHeight w:val="378"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乐清经济开发区智能科技产业园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60.7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入驻企业目前增至79家企业。</w:t>
            </w:r>
          </w:p>
        </w:tc>
      </w:tr>
      <w:tr>
        <w:tblPrEx>
          <w:tblCellMar>
            <w:top w:w="0" w:type="dxa"/>
            <w:left w:w="108" w:type="dxa"/>
            <w:bottom w:w="0" w:type="dxa"/>
            <w:right w:w="108" w:type="dxa"/>
          </w:tblCellMar>
        </w:tblPrEx>
        <w:trPr>
          <w:trHeight w:val="8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77.3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1标段：教学楼、资讯楼砌墙完成；学生宿舍、后勤宿舍粉刷。2标段：教学楼、学生宿舍、行政楼粉刷。</w:t>
            </w:r>
          </w:p>
        </w:tc>
      </w:tr>
      <w:tr>
        <w:tblPrEx>
          <w:tblCellMar>
            <w:top w:w="0" w:type="dxa"/>
            <w:left w:w="108" w:type="dxa"/>
            <w:bottom w:w="0" w:type="dxa"/>
            <w:right w:w="108" w:type="dxa"/>
          </w:tblCellMar>
        </w:tblPrEx>
        <w:trPr>
          <w:trHeight w:val="76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0.44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157.7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主体结构混凝土完成，二次砌体结构剩余地下室和一层圈梁以上部分未完成。</w:t>
            </w:r>
          </w:p>
        </w:tc>
      </w:tr>
      <w:tr>
        <w:tblPrEx>
          <w:tblCellMar>
            <w:top w:w="0" w:type="dxa"/>
            <w:left w:w="108" w:type="dxa"/>
            <w:bottom w:w="0" w:type="dxa"/>
            <w:right w:w="108" w:type="dxa"/>
          </w:tblCellMar>
        </w:tblPrEx>
        <w:trPr>
          <w:trHeight w:val="34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主体结顶，目前处于附属建设阶段。</w:t>
            </w:r>
          </w:p>
        </w:tc>
      </w:tr>
      <w:tr>
        <w:tblPrEx>
          <w:tblCellMar>
            <w:top w:w="0" w:type="dxa"/>
            <w:left w:w="108" w:type="dxa"/>
            <w:bottom w:w="0" w:type="dxa"/>
            <w:right w:w="108" w:type="dxa"/>
          </w:tblCellMar>
        </w:tblPrEx>
        <w:trPr>
          <w:trHeight w:val="433"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企业全部结顶，目前处于附属建设阶段。</w:t>
            </w:r>
          </w:p>
        </w:tc>
      </w:tr>
      <w:tr>
        <w:tblPrEx>
          <w:tblCellMar>
            <w:top w:w="0" w:type="dxa"/>
            <w:left w:w="108" w:type="dxa"/>
            <w:bottom w:w="0" w:type="dxa"/>
            <w:right w:w="108" w:type="dxa"/>
          </w:tblCellMar>
        </w:tblPrEx>
        <w:trPr>
          <w:trHeight w:val="63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龙江路电力线上改下迁改工程（中心区段）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高压旋喷桩、钻孔桩，管桩施工；燃气迁改施工；10kv电力迁改施工；永宁西路排水截断及布置临排。</w:t>
            </w:r>
          </w:p>
        </w:tc>
      </w:tr>
      <w:tr>
        <w:tblPrEx>
          <w:tblCellMar>
            <w:top w:w="0" w:type="dxa"/>
            <w:left w:w="108" w:type="dxa"/>
            <w:bottom w:w="0" w:type="dxa"/>
            <w:right w:w="108" w:type="dxa"/>
          </w:tblCellMar>
        </w:tblPrEx>
        <w:trPr>
          <w:trHeight w:val="77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132.6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桥梁驳坎工程景观亭预留柱、钢筋砼联系梁</w:t>
            </w:r>
            <w:r>
              <w:rPr>
                <w:rFonts w:hint="eastAsia" w:eastAsia="仿宋_GB2312"/>
                <w:kern w:val="0"/>
                <w:sz w:val="18"/>
                <w:szCs w:val="18"/>
              </w:rPr>
              <w:t>等</w:t>
            </w:r>
            <w:r>
              <w:rPr>
                <w:rFonts w:eastAsia="仿宋_GB2312"/>
                <w:kern w:val="0"/>
                <w:sz w:val="18"/>
                <w:szCs w:val="18"/>
              </w:rPr>
              <w:t>施工。完成办公楼G-17b4地块标化工地布设，工程桩10根。安置房G-18、G-21b、G-22地块施工许可证办理完成。</w:t>
            </w:r>
          </w:p>
        </w:tc>
      </w:tr>
      <w:tr>
        <w:tblPrEx>
          <w:tblCellMar>
            <w:top w:w="0" w:type="dxa"/>
            <w:left w:w="108" w:type="dxa"/>
            <w:bottom w:w="0" w:type="dxa"/>
            <w:right w:w="108" w:type="dxa"/>
          </w:tblCellMar>
        </w:tblPrEx>
        <w:trPr>
          <w:trHeight w:val="38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100.4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一标平均主体完成四层楼板，二标进入基础施工。</w:t>
            </w:r>
          </w:p>
        </w:tc>
      </w:tr>
      <w:tr>
        <w:tblPrEx>
          <w:tblCellMar>
            <w:top w:w="0" w:type="dxa"/>
            <w:left w:w="108" w:type="dxa"/>
            <w:bottom w:w="0" w:type="dxa"/>
            <w:right w:w="108" w:type="dxa"/>
          </w:tblCellMar>
        </w:tblPrEx>
        <w:trPr>
          <w:trHeight w:val="89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329.7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闻涛路：完成水泥搅拌桩</w:t>
            </w:r>
            <w:r>
              <w:rPr>
                <w:rFonts w:hint="eastAsia" w:eastAsia="仿宋_GB2312"/>
                <w:kern w:val="0"/>
                <w:sz w:val="18"/>
                <w:szCs w:val="18"/>
              </w:rPr>
              <w:t>、</w:t>
            </w:r>
            <w:r>
              <w:rPr>
                <w:rFonts w:eastAsia="仿宋_GB2312"/>
                <w:kern w:val="0"/>
                <w:sz w:val="18"/>
                <w:szCs w:val="18"/>
              </w:rPr>
              <w:t>污水管道20%。万松东路：完成水泥搅拌桩70%</w:t>
            </w:r>
            <w:r>
              <w:rPr>
                <w:rFonts w:hint="eastAsia" w:eastAsia="仿宋_GB2312"/>
                <w:kern w:val="0"/>
                <w:sz w:val="18"/>
                <w:szCs w:val="18"/>
              </w:rPr>
              <w:t>、</w:t>
            </w:r>
            <w:r>
              <w:rPr>
                <w:rFonts w:eastAsia="仿宋_GB2312"/>
                <w:kern w:val="0"/>
                <w:sz w:val="18"/>
                <w:szCs w:val="18"/>
              </w:rPr>
              <w:t>污水管道10%。凤凰路、腾达路、河南路、望海路、望湖路桩基施工中。</w:t>
            </w:r>
          </w:p>
        </w:tc>
      </w:tr>
      <w:tr>
        <w:tblPrEx>
          <w:tblCellMar>
            <w:top w:w="0" w:type="dxa"/>
            <w:left w:w="108" w:type="dxa"/>
            <w:bottom w:w="0" w:type="dxa"/>
            <w:right w:w="108" w:type="dxa"/>
          </w:tblCellMar>
        </w:tblPrEx>
        <w:trPr>
          <w:trHeight w:val="75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164.0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会展中心项目桩基工程全部完成</w:t>
            </w:r>
            <w:r>
              <w:rPr>
                <w:rFonts w:hint="eastAsia" w:eastAsia="仿宋_GB2312"/>
                <w:kern w:val="0"/>
                <w:sz w:val="18"/>
                <w:szCs w:val="18"/>
              </w:rPr>
              <w:t>；</w:t>
            </w:r>
            <w:r>
              <w:rPr>
                <w:rFonts w:eastAsia="仿宋_GB2312"/>
                <w:kern w:val="0"/>
                <w:sz w:val="18"/>
                <w:szCs w:val="18"/>
              </w:rPr>
              <w:t>温州设计学院创意设计基地项目桩基工程还余400根桩未完成。</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传化公路港（一期）</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71.1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完工。</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81.8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完成总工程40%，基础工程50%；挡墙工程收尾。</w:t>
            </w:r>
          </w:p>
        </w:tc>
      </w:tr>
      <w:tr>
        <w:tblPrEx>
          <w:tblCellMar>
            <w:top w:w="0" w:type="dxa"/>
            <w:left w:w="108" w:type="dxa"/>
            <w:bottom w:w="0" w:type="dxa"/>
            <w:right w:w="108" w:type="dxa"/>
          </w:tblCellMar>
        </w:tblPrEx>
        <w:trPr>
          <w:trHeight w:val="40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81.4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完成基础施工70%。</w:t>
            </w:r>
          </w:p>
        </w:tc>
      </w:tr>
      <w:tr>
        <w:tblPrEx>
          <w:tblCellMar>
            <w:top w:w="0" w:type="dxa"/>
            <w:left w:w="108" w:type="dxa"/>
            <w:bottom w:w="0" w:type="dxa"/>
            <w:right w:w="108" w:type="dxa"/>
          </w:tblCellMar>
        </w:tblPrEx>
        <w:trPr>
          <w:trHeight w:val="87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温州绕城高速公路北线二期*</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73.2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主体路基、桥梁、隧道工程基本完成；附属后续工程路面完成实验段</w:t>
            </w:r>
            <w:r>
              <w:rPr>
                <w:rFonts w:hint="eastAsia" w:eastAsia="仿宋_GB2312"/>
                <w:kern w:val="0"/>
                <w:sz w:val="18"/>
                <w:szCs w:val="18"/>
              </w:rPr>
              <w:t>，</w:t>
            </w:r>
            <w:r>
              <w:rPr>
                <w:rFonts w:eastAsia="仿宋_GB2312"/>
                <w:kern w:val="0"/>
                <w:sz w:val="18"/>
                <w:szCs w:val="18"/>
              </w:rPr>
              <w:t>进入正常施工，完成路面工程3%</w:t>
            </w:r>
            <w:r>
              <w:rPr>
                <w:rFonts w:hint="eastAsia" w:eastAsia="仿宋_GB2312"/>
                <w:kern w:val="0"/>
                <w:sz w:val="18"/>
                <w:szCs w:val="18"/>
              </w:rPr>
              <w:t>、</w:t>
            </w:r>
            <w:r>
              <w:rPr>
                <w:rFonts w:eastAsia="仿宋_GB2312"/>
                <w:kern w:val="0"/>
                <w:sz w:val="18"/>
                <w:szCs w:val="18"/>
              </w:rPr>
              <w:t>房建工程25%</w:t>
            </w:r>
            <w:r>
              <w:rPr>
                <w:rFonts w:hint="eastAsia" w:eastAsia="仿宋_GB2312"/>
                <w:kern w:val="0"/>
                <w:sz w:val="18"/>
                <w:szCs w:val="18"/>
              </w:rPr>
              <w:t>、</w:t>
            </w:r>
            <w:r>
              <w:rPr>
                <w:rFonts w:eastAsia="仿宋_GB2312"/>
                <w:kern w:val="0"/>
                <w:sz w:val="18"/>
                <w:szCs w:val="18"/>
              </w:rPr>
              <w:t>机电工程2%。</w:t>
            </w:r>
          </w:p>
        </w:tc>
      </w:tr>
      <w:tr>
        <w:tblPrEx>
          <w:tblCellMar>
            <w:top w:w="0" w:type="dxa"/>
            <w:left w:w="108" w:type="dxa"/>
            <w:bottom w:w="0" w:type="dxa"/>
            <w:right w:w="108" w:type="dxa"/>
          </w:tblCellMar>
        </w:tblPrEx>
        <w:trPr>
          <w:trHeight w:val="113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149.9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完成1号地块主体81%</w:t>
            </w:r>
            <w:r>
              <w:rPr>
                <w:rFonts w:hint="eastAsia" w:eastAsia="仿宋_GB2312"/>
                <w:kern w:val="0"/>
                <w:sz w:val="18"/>
                <w:szCs w:val="18"/>
              </w:rPr>
              <w:t>、</w:t>
            </w:r>
            <w:r>
              <w:rPr>
                <w:rFonts w:eastAsia="仿宋_GB2312"/>
                <w:kern w:val="0"/>
                <w:sz w:val="18"/>
                <w:szCs w:val="18"/>
              </w:rPr>
              <w:t>2#地块主体86%</w:t>
            </w:r>
            <w:r>
              <w:rPr>
                <w:rFonts w:hint="eastAsia" w:eastAsia="仿宋_GB2312"/>
                <w:kern w:val="0"/>
                <w:sz w:val="18"/>
                <w:szCs w:val="18"/>
              </w:rPr>
              <w:t>、</w:t>
            </w:r>
            <w:r>
              <w:rPr>
                <w:rFonts w:eastAsia="仿宋_GB2312"/>
                <w:kern w:val="0"/>
                <w:sz w:val="18"/>
                <w:szCs w:val="18"/>
              </w:rPr>
              <w:t>3#地块主体86%，4#地块桩施工。</w:t>
            </w:r>
          </w:p>
        </w:tc>
      </w:tr>
      <w:tr>
        <w:tblPrEx>
          <w:tblCellMar>
            <w:top w:w="0" w:type="dxa"/>
            <w:left w:w="108" w:type="dxa"/>
            <w:bottom w:w="0" w:type="dxa"/>
            <w:right w:w="108" w:type="dxa"/>
          </w:tblCellMar>
        </w:tblPrEx>
        <w:trPr>
          <w:trHeight w:val="495" w:hRule="atLeast"/>
          <w:jc w:val="center"/>
        </w:trPr>
        <w:tc>
          <w:tcPr>
            <w:tcW w:w="416" w:type="dxa"/>
            <w:tcBorders>
              <w:top w:val="single" w:color="auto" w:sz="4" w:space="0"/>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580"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750"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61.0 </w:t>
            </w:r>
          </w:p>
        </w:tc>
        <w:tc>
          <w:tcPr>
            <w:tcW w:w="3260" w:type="dxa"/>
            <w:tcBorders>
              <w:top w:val="single" w:color="auto" w:sz="4" w:space="0"/>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402"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完成应急段桩基施工15%。</w:t>
            </w:r>
          </w:p>
        </w:tc>
      </w:tr>
      <w:tr>
        <w:tblPrEx>
          <w:tblCellMar>
            <w:top w:w="0" w:type="dxa"/>
            <w:left w:w="108" w:type="dxa"/>
            <w:bottom w:w="0" w:type="dxa"/>
            <w:right w:w="108" w:type="dxa"/>
          </w:tblCellMar>
        </w:tblPrEx>
        <w:trPr>
          <w:trHeight w:val="387" w:hRule="atLeast"/>
          <w:jc w:val="center"/>
        </w:trPr>
        <w:tc>
          <w:tcPr>
            <w:tcW w:w="416" w:type="dxa"/>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580" w:type="dxa"/>
            <w:tcBorders>
              <w:top w:val="double" w:color="auto" w:sz="6"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温州奥林匹克体育中心-主体育场二期工程</w:t>
            </w:r>
          </w:p>
        </w:tc>
        <w:tc>
          <w:tcPr>
            <w:tcW w:w="750"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61.8 </w:t>
            </w:r>
          </w:p>
        </w:tc>
        <w:tc>
          <w:tcPr>
            <w:tcW w:w="3260" w:type="dxa"/>
            <w:tcBorders>
              <w:top w:val="double" w:color="auto" w:sz="6" w:space="0"/>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6月试桩，10月开工。</w:t>
            </w:r>
          </w:p>
        </w:tc>
        <w:tc>
          <w:tcPr>
            <w:tcW w:w="3402" w:type="dxa"/>
            <w:tcBorders>
              <w:top w:val="double" w:color="auto" w:sz="6"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进行超限论证，施工图审查，施工招标资格预审</w:t>
            </w:r>
            <w:r>
              <w:rPr>
                <w:rFonts w:hint="eastAsia" w:eastAsia="仿宋_GB2312"/>
                <w:kern w:val="0"/>
                <w:sz w:val="18"/>
                <w:szCs w:val="18"/>
              </w:rPr>
              <w:t>。</w:t>
            </w:r>
          </w:p>
        </w:tc>
      </w:tr>
      <w:tr>
        <w:tblPrEx>
          <w:tblCellMar>
            <w:top w:w="0" w:type="dxa"/>
            <w:left w:w="108" w:type="dxa"/>
            <w:bottom w:w="0" w:type="dxa"/>
            <w:right w:w="108" w:type="dxa"/>
          </w:tblCellMar>
        </w:tblPrEx>
        <w:trPr>
          <w:trHeight w:val="1268"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温州肯恩大学</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64.5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402"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宿舍二区：AB栋主体结构完成，准备中间验收；CED基础开挖准备；F栋北侧进行边坡支护和排水沟施工。建筑设计学院：AB区屋面层支模</w:t>
            </w:r>
            <w:r>
              <w:rPr>
                <w:rFonts w:hint="eastAsia" w:eastAsia="仿宋_GB2312"/>
                <w:kern w:val="0"/>
                <w:sz w:val="18"/>
                <w:szCs w:val="18"/>
              </w:rPr>
              <w:t>，</w:t>
            </w:r>
            <w:r>
              <w:rPr>
                <w:rFonts w:eastAsia="仿宋_GB2312"/>
                <w:kern w:val="0"/>
                <w:sz w:val="18"/>
                <w:szCs w:val="18"/>
              </w:rPr>
              <w:t>C区四层结构板钢筋绑扎</w:t>
            </w:r>
            <w:r>
              <w:rPr>
                <w:rFonts w:hint="eastAsia" w:eastAsia="仿宋_GB2312"/>
                <w:kern w:val="0"/>
                <w:sz w:val="18"/>
                <w:szCs w:val="18"/>
              </w:rPr>
              <w:t>，</w:t>
            </w:r>
            <w:r>
              <w:rPr>
                <w:rFonts w:eastAsia="仿宋_GB2312"/>
                <w:kern w:val="0"/>
                <w:sz w:val="18"/>
                <w:szCs w:val="18"/>
              </w:rPr>
              <w:t>D区支模架搭设。四标道路及水渠：AB路砼路面完成50%；东侧水渠木栈道基础施工，西侧挡墙砌筑。</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龙丽温高速公路文成至瑞安段*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72.7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完成路基77.</w:t>
            </w:r>
            <w:r>
              <w:rPr>
                <w:rFonts w:hint="eastAsia" w:eastAsia="仿宋_GB2312"/>
                <w:kern w:val="0"/>
                <w:sz w:val="18"/>
                <w:szCs w:val="18"/>
              </w:rPr>
              <w:t>8</w:t>
            </w:r>
            <w:r>
              <w:rPr>
                <w:rFonts w:eastAsia="仿宋_GB2312"/>
                <w:kern w:val="0"/>
                <w:sz w:val="18"/>
                <w:szCs w:val="18"/>
              </w:rPr>
              <w:t>%，桥涵76.3%，隧道85.3%。</w:t>
            </w:r>
          </w:p>
        </w:tc>
      </w:tr>
      <w:tr>
        <w:tblPrEx>
          <w:tblCellMar>
            <w:top w:w="0" w:type="dxa"/>
            <w:left w:w="108" w:type="dxa"/>
            <w:bottom w:w="0" w:type="dxa"/>
            <w:right w:w="108" w:type="dxa"/>
          </w:tblCellMar>
        </w:tblPrEx>
        <w:trPr>
          <w:trHeight w:val="50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溧阳至宁德高速公路（G4012）文成至泰顺段*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完成路基工程35%；桥梁工程30%；隧道工程45%。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完成路基23%，桥涵18.2%，隧道工程21.8%。</w:t>
            </w:r>
          </w:p>
        </w:tc>
      </w:tr>
      <w:tr>
        <w:tblPrEx>
          <w:tblCellMar>
            <w:top w:w="0" w:type="dxa"/>
            <w:left w:w="108" w:type="dxa"/>
            <w:bottom w:w="0" w:type="dxa"/>
            <w:right w:w="108" w:type="dxa"/>
          </w:tblCellMar>
        </w:tblPrEx>
        <w:trPr>
          <w:trHeight w:val="78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叶胜导洞进口：边仰坡施工，导洞洞口至主线叶麻尖隧道洞口之间的便道施工；叶胜导洞出口：导洞施工至K1+608；便道开挖完成3.3万方，便道填筑完成1.5万方。</w:t>
            </w:r>
          </w:p>
        </w:tc>
      </w:tr>
      <w:tr>
        <w:tblPrEx>
          <w:tblCellMar>
            <w:top w:w="0" w:type="dxa"/>
            <w:left w:w="108" w:type="dxa"/>
            <w:bottom w:w="0" w:type="dxa"/>
            <w:right w:w="108" w:type="dxa"/>
          </w:tblCellMar>
        </w:tblPrEx>
        <w:trPr>
          <w:trHeight w:val="85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温州市瓯江口新区一期市政工程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66.9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完成道路29.4公里，桥梁33座，管廊12.4公里，河道11.3公里。</w:t>
            </w:r>
          </w:p>
        </w:tc>
      </w:tr>
      <w:tr>
        <w:tblPrEx>
          <w:tblCellMar>
            <w:top w:w="0" w:type="dxa"/>
            <w:left w:w="108" w:type="dxa"/>
            <w:bottom w:w="0" w:type="dxa"/>
            <w:right w:w="108" w:type="dxa"/>
          </w:tblCellMar>
        </w:tblPrEx>
        <w:trPr>
          <w:trHeight w:val="75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118.9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工业标段：生产厂房主和生产设备全部完工；民用标段：工程完工验收，问题整改。</w:t>
            </w:r>
          </w:p>
        </w:tc>
      </w:tr>
      <w:tr>
        <w:tblPrEx>
          <w:tblCellMar>
            <w:top w:w="0" w:type="dxa"/>
            <w:left w:w="108" w:type="dxa"/>
            <w:bottom w:w="0" w:type="dxa"/>
            <w:right w:w="108" w:type="dxa"/>
          </w:tblCellMar>
        </w:tblPrEx>
        <w:trPr>
          <w:trHeight w:val="94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浙江合泰汽车科技有限公司汽车零部件项目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73.7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9#生产车间一层柱、二层梁完成；10#生产车间一层柱、二层梁板搭设</w:t>
            </w:r>
            <w:r>
              <w:rPr>
                <w:rFonts w:hint="eastAsia" w:eastAsia="仿宋_GB2312"/>
                <w:kern w:val="0"/>
                <w:sz w:val="18"/>
                <w:szCs w:val="18"/>
              </w:rPr>
              <w:t>中</w:t>
            </w:r>
            <w:r>
              <w:rPr>
                <w:rFonts w:eastAsia="仿宋_GB2312"/>
                <w:kern w:val="0"/>
                <w:sz w:val="18"/>
                <w:szCs w:val="18"/>
              </w:rPr>
              <w:t>；1#研发车间主体结顶；2#研发车间</w:t>
            </w:r>
            <w:r>
              <w:rPr>
                <w:rFonts w:hint="eastAsia" w:eastAsia="仿宋_GB2312"/>
                <w:kern w:val="0"/>
                <w:sz w:val="18"/>
                <w:szCs w:val="18"/>
              </w:rPr>
              <w:t>浇筑</w:t>
            </w:r>
            <w:r>
              <w:rPr>
                <w:rFonts w:eastAsia="仿宋_GB2312"/>
                <w:kern w:val="0"/>
                <w:sz w:val="18"/>
                <w:szCs w:val="18"/>
              </w:rPr>
              <w:t>五层柱六层梁板；1#宿舍楼一层柱、二层梁板搭设</w:t>
            </w:r>
            <w:r>
              <w:rPr>
                <w:rFonts w:hint="eastAsia" w:eastAsia="仿宋_GB2312"/>
                <w:kern w:val="0"/>
                <w:sz w:val="18"/>
                <w:szCs w:val="18"/>
              </w:rPr>
              <w:t>中</w:t>
            </w:r>
            <w:r>
              <w:rPr>
                <w:rFonts w:eastAsia="仿宋_GB2312"/>
                <w:kern w:val="0"/>
                <w:sz w:val="18"/>
                <w:szCs w:val="18"/>
              </w:rPr>
              <w:t>；2#宿舍楼基础完成。</w:t>
            </w:r>
          </w:p>
        </w:tc>
      </w:tr>
      <w:tr>
        <w:tblPrEx>
          <w:tblCellMar>
            <w:top w:w="0" w:type="dxa"/>
            <w:left w:w="108" w:type="dxa"/>
            <w:bottom w:w="0" w:type="dxa"/>
            <w:right w:w="108" w:type="dxa"/>
          </w:tblCellMar>
        </w:tblPrEx>
        <w:trPr>
          <w:trHeight w:val="58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完成部分土方开挖、挡墙施工、灌注桩施工。应急工程二期主体工程施工中。</w:t>
            </w:r>
          </w:p>
        </w:tc>
      </w:tr>
      <w:tr>
        <w:tblPrEx>
          <w:tblCellMar>
            <w:top w:w="0" w:type="dxa"/>
            <w:left w:w="108" w:type="dxa"/>
            <w:bottom w:w="0" w:type="dxa"/>
            <w:right w:w="108" w:type="dxa"/>
          </w:tblCellMar>
        </w:tblPrEx>
        <w:trPr>
          <w:trHeight w:val="101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长浃河完成园路基础施工；娄桥河除安下村段外，其余部分完成护岸工程；十八湾河完成清淤23.5万立方米；阳桐河、雄溪河完成护岸工程600米；站东河园路基础施工；站西河桥梁施工。</w:t>
            </w:r>
          </w:p>
        </w:tc>
      </w:tr>
      <w:tr>
        <w:tblPrEx>
          <w:tblCellMar>
            <w:top w:w="0" w:type="dxa"/>
            <w:left w:w="108" w:type="dxa"/>
            <w:bottom w:w="0" w:type="dxa"/>
            <w:right w:w="108" w:type="dxa"/>
          </w:tblCellMar>
        </w:tblPrEx>
        <w:trPr>
          <w:trHeight w:val="831"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107.1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东排工程一期土地报征组件材料报省国土资源厅已退件，现按退件的要求进行补件；东排一期工程1标、2标，5标进场施工</w:t>
            </w:r>
            <w:r>
              <w:rPr>
                <w:rFonts w:hint="eastAsia" w:eastAsia="仿宋_GB2312"/>
                <w:kern w:val="0"/>
                <w:sz w:val="18"/>
                <w:szCs w:val="18"/>
              </w:rPr>
              <w:t>。</w:t>
            </w:r>
          </w:p>
        </w:tc>
      </w:tr>
      <w:tr>
        <w:tblPrEx>
          <w:tblCellMar>
            <w:top w:w="0" w:type="dxa"/>
            <w:left w:w="108" w:type="dxa"/>
            <w:bottom w:w="0" w:type="dxa"/>
            <w:right w:w="108" w:type="dxa"/>
          </w:tblCellMar>
        </w:tblPrEx>
        <w:trPr>
          <w:trHeight w:val="447"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温州市温瑞平原东片排涝工程经开区段</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67.5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完成四甲浦、新川浦二期，5、6号湖泊开挖</w:t>
            </w:r>
            <w:r>
              <w:rPr>
                <w:rFonts w:hint="eastAsia" w:eastAsia="仿宋_GB2312"/>
                <w:kern w:val="0"/>
                <w:sz w:val="18"/>
                <w:szCs w:val="18"/>
              </w:rPr>
              <w:t>，</w:t>
            </w:r>
            <w:r>
              <w:rPr>
                <w:rFonts w:eastAsia="仿宋_GB2312"/>
                <w:kern w:val="0"/>
                <w:sz w:val="18"/>
                <w:szCs w:val="18"/>
              </w:rPr>
              <w:t>项目进场施工。</w:t>
            </w:r>
          </w:p>
        </w:tc>
      </w:tr>
      <w:tr>
        <w:tblPrEx>
          <w:tblCellMar>
            <w:top w:w="0" w:type="dxa"/>
            <w:left w:w="108" w:type="dxa"/>
            <w:bottom w:w="0" w:type="dxa"/>
            <w:right w:w="108" w:type="dxa"/>
          </w:tblCellMar>
        </w:tblPrEx>
        <w:trPr>
          <w:trHeight w:val="1401"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82.1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主体及车站工程：除机场段外，土建已完成99%，铺轨完成100%</w:t>
            </w:r>
            <w:r>
              <w:rPr>
                <w:rFonts w:hint="eastAsia" w:eastAsia="仿宋_GB2312"/>
                <w:kern w:val="0"/>
                <w:sz w:val="18"/>
                <w:szCs w:val="18"/>
              </w:rPr>
              <w:t>。</w:t>
            </w:r>
            <w:r>
              <w:rPr>
                <w:rFonts w:eastAsia="仿宋_GB2312"/>
                <w:kern w:val="0"/>
                <w:sz w:val="18"/>
                <w:szCs w:val="18"/>
              </w:rPr>
              <w:t>外立面装修部分：外墙砌筑完</w:t>
            </w:r>
            <w:r>
              <w:rPr>
                <w:rFonts w:hint="eastAsia" w:eastAsia="仿宋_GB2312"/>
                <w:kern w:val="0"/>
                <w:sz w:val="18"/>
                <w:szCs w:val="18"/>
              </w:rPr>
              <w:t>成</w:t>
            </w:r>
            <w:r>
              <w:rPr>
                <w:rFonts w:eastAsia="仿宋_GB2312"/>
                <w:kern w:val="0"/>
                <w:sz w:val="18"/>
                <w:szCs w:val="18"/>
              </w:rPr>
              <w:t>99%，声屏障、景观亮化工程完成</w:t>
            </w:r>
            <w:r>
              <w:rPr>
                <w:rFonts w:hint="eastAsia" w:eastAsia="仿宋_GB2312"/>
                <w:kern w:val="0"/>
                <w:sz w:val="18"/>
                <w:szCs w:val="18"/>
              </w:rPr>
              <w:t>。</w:t>
            </w:r>
            <w:r>
              <w:rPr>
                <w:rFonts w:eastAsia="仿宋_GB2312"/>
                <w:kern w:val="0"/>
                <w:sz w:val="18"/>
                <w:szCs w:val="18"/>
              </w:rPr>
              <w:t>机电部分：完成奥体站以西12个个站点的风水电安装、通信及信号施工、综合监控、接触网等工程。</w:t>
            </w:r>
          </w:p>
        </w:tc>
      </w:tr>
      <w:tr>
        <w:tblPrEx>
          <w:tblCellMar>
            <w:top w:w="0" w:type="dxa"/>
            <w:left w:w="108" w:type="dxa"/>
            <w:bottom w:w="0" w:type="dxa"/>
            <w:right w:w="108" w:type="dxa"/>
          </w:tblCellMar>
        </w:tblPrEx>
        <w:trPr>
          <w:trHeight w:val="898"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98.1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圆通主体全部结顶，进行附属建设；申通5#、7#车间投入使用，1#、2#、3#、4#、6#、8#车间全部结顶，宿舍1#、2#结顶，3#四层在建。</w:t>
            </w:r>
          </w:p>
        </w:tc>
      </w:tr>
      <w:tr>
        <w:tblPrEx>
          <w:tblCellMar>
            <w:top w:w="0" w:type="dxa"/>
            <w:left w:w="108" w:type="dxa"/>
            <w:bottom w:w="0" w:type="dxa"/>
            <w:right w:w="108" w:type="dxa"/>
          </w:tblCellMar>
        </w:tblPrEx>
        <w:trPr>
          <w:trHeight w:val="954"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主线土建工程基本完工。附属后续工程完成路面75.05%，交安71.76%，机电78.10%，房建49.62%，声屏障73.83%，绿化30.08%。</w:t>
            </w:r>
          </w:p>
        </w:tc>
      </w:tr>
      <w:tr>
        <w:tblPrEx>
          <w:tblCellMar>
            <w:top w:w="0" w:type="dxa"/>
            <w:left w:w="108" w:type="dxa"/>
            <w:bottom w:w="0" w:type="dxa"/>
            <w:right w:w="108" w:type="dxa"/>
          </w:tblCellMar>
        </w:tblPrEx>
        <w:trPr>
          <w:trHeight w:val="158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温州瓯江北口大桥工程*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71.8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工累计完成桥梁工程29.45%；中塔钢沉井井壁及隔舱混凝土浇筑6.27万方，北塔塔柱完成42%，南塔钢护筒割除、承台找平层浇筑全部完成，北锚支墩基础单幅完成3层，南锚碇累计下沉24m；北引桥完成桩基89%、承台34%、墩柱24%、现浇箱梁7跨，南引桥完成桩基88.31%、承台33.1%。</w:t>
            </w:r>
          </w:p>
        </w:tc>
      </w:tr>
      <w:tr>
        <w:tblPrEx>
          <w:tblCellMar>
            <w:top w:w="0" w:type="dxa"/>
            <w:left w:w="108" w:type="dxa"/>
            <w:bottom w:w="0" w:type="dxa"/>
            <w:right w:w="108" w:type="dxa"/>
          </w:tblCellMar>
        </w:tblPrEx>
        <w:trPr>
          <w:trHeight w:val="5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开工累计完成路基工程90.2%，桥梁工程93.5%；路面工程已进场开展临建工作，其它后续工程施工图设计完善中。</w:t>
            </w:r>
          </w:p>
        </w:tc>
      </w:tr>
      <w:tr>
        <w:tblPrEx>
          <w:tblCellMar>
            <w:top w:w="0" w:type="dxa"/>
            <w:left w:w="108" w:type="dxa"/>
            <w:bottom w:w="0" w:type="dxa"/>
            <w:right w:w="108" w:type="dxa"/>
          </w:tblCellMar>
        </w:tblPrEx>
        <w:trPr>
          <w:trHeight w:val="841"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75.8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开工累计完成路基工程78.82%、桥梁工程86.28%、隧道工程76.84%；路面工程施工标和后续工程监理标已签订合同。其他后续工程施工图设计已获批复。</w:t>
            </w:r>
          </w:p>
        </w:tc>
      </w:tr>
      <w:tr>
        <w:tblPrEx>
          <w:tblCellMar>
            <w:top w:w="0" w:type="dxa"/>
            <w:left w:w="108" w:type="dxa"/>
            <w:bottom w:w="0" w:type="dxa"/>
            <w:right w:w="108" w:type="dxa"/>
          </w:tblCellMar>
        </w:tblPrEx>
        <w:trPr>
          <w:trHeight w:val="52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开展勘察设计招投标</w:t>
            </w:r>
            <w:r>
              <w:rPr>
                <w:rFonts w:hint="eastAsia" w:eastAsia="仿宋_GB2312"/>
                <w:kern w:val="0"/>
                <w:sz w:val="18"/>
                <w:szCs w:val="18"/>
              </w:rPr>
              <w:t>和</w:t>
            </w:r>
            <w:r>
              <w:rPr>
                <w:rFonts w:eastAsia="仿宋_GB2312"/>
                <w:kern w:val="0"/>
                <w:sz w:val="18"/>
                <w:szCs w:val="18"/>
              </w:rPr>
              <w:t>模拟审批程序。</w:t>
            </w:r>
          </w:p>
        </w:tc>
      </w:tr>
      <w:tr>
        <w:tblPrEx>
          <w:tblCellMar>
            <w:top w:w="0" w:type="dxa"/>
            <w:left w:w="108" w:type="dxa"/>
            <w:bottom w:w="0" w:type="dxa"/>
            <w:right w:w="108" w:type="dxa"/>
          </w:tblCellMar>
        </w:tblPrEx>
        <w:trPr>
          <w:trHeight w:val="7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完成PPP合同签订，龙山隧道口进口1200</w:t>
            </w:r>
            <w:r>
              <w:rPr>
                <w:kern w:val="0"/>
                <w:sz w:val="18"/>
                <w:szCs w:val="18"/>
              </w:rPr>
              <w:t>㎡</w:t>
            </w:r>
            <w:r>
              <w:rPr>
                <w:rFonts w:eastAsia="仿宋_GB2312"/>
                <w:kern w:val="0"/>
                <w:sz w:val="18"/>
                <w:szCs w:val="18"/>
              </w:rPr>
              <w:t>清表，永农省级论证工作</w:t>
            </w:r>
            <w:r>
              <w:rPr>
                <w:rFonts w:hint="eastAsia" w:eastAsia="仿宋_GB2312"/>
                <w:kern w:val="0"/>
                <w:sz w:val="18"/>
                <w:szCs w:val="18"/>
              </w:rPr>
              <w:t>；</w:t>
            </w:r>
            <w:r>
              <w:rPr>
                <w:rFonts w:eastAsia="仿宋_GB2312"/>
                <w:kern w:val="0"/>
                <w:sz w:val="18"/>
                <w:szCs w:val="18"/>
              </w:rPr>
              <w:t>用地预审正在县级组件，开始金乡段项目部、隧道工区（龙山隧道进口段）驻地场地清表工作。</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完成资格预审招投标，待县政府确定何时启动PPP招标工作。</w:t>
            </w:r>
          </w:p>
        </w:tc>
      </w:tr>
      <w:tr>
        <w:tblPrEx>
          <w:tblCellMar>
            <w:top w:w="0" w:type="dxa"/>
            <w:left w:w="108" w:type="dxa"/>
            <w:bottom w:w="0" w:type="dxa"/>
            <w:right w:w="108" w:type="dxa"/>
          </w:tblCellMar>
        </w:tblPrEx>
        <w:trPr>
          <w:trHeight w:val="1184"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228国道洞头灵昆段工程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完成监理招标文件备案工作，工程量清单核对工作；PPP实施方案通过省财政厅报国家财政部PPP中心待审查；基本完成PPP采购招标文件编制和审核工作，待经管委会批准后立即发布招标公告。</w:t>
            </w:r>
          </w:p>
        </w:tc>
      </w:tr>
      <w:tr>
        <w:tblPrEx>
          <w:tblCellMar>
            <w:top w:w="0" w:type="dxa"/>
            <w:left w:w="108" w:type="dxa"/>
            <w:bottom w:w="0" w:type="dxa"/>
            <w:right w:w="108" w:type="dxa"/>
          </w:tblCellMar>
        </w:tblPrEx>
        <w:trPr>
          <w:trHeight w:val="463"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eastAsia="仿宋_GB2312"/>
                <w:color w:val="000000"/>
                <w:kern w:val="0"/>
                <w:sz w:val="18"/>
                <w:szCs w:val="18"/>
              </w:rPr>
              <w:t>至鳌江段公路工程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146.2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完成路基工程12%，桥梁工程9%</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永嘉县职业教育中心一期工程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63.4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临时设施完成80%</w:t>
            </w:r>
            <w:r>
              <w:rPr>
                <w:rFonts w:hint="eastAsia" w:eastAsia="仿宋_GB2312"/>
                <w:kern w:val="0"/>
                <w:sz w:val="18"/>
                <w:szCs w:val="18"/>
              </w:rPr>
              <w:t>，</w:t>
            </w:r>
            <w:r>
              <w:rPr>
                <w:rFonts w:eastAsia="仿宋_GB2312"/>
                <w:kern w:val="0"/>
                <w:sz w:val="18"/>
                <w:szCs w:val="18"/>
              </w:rPr>
              <w:t>桩基施工。</w:t>
            </w:r>
          </w:p>
        </w:tc>
      </w:tr>
      <w:tr>
        <w:tblPrEx>
          <w:tblCellMar>
            <w:top w:w="0" w:type="dxa"/>
            <w:left w:w="108" w:type="dxa"/>
            <w:bottom w:w="0" w:type="dxa"/>
            <w:right w:w="108" w:type="dxa"/>
          </w:tblCellMar>
        </w:tblPrEx>
        <w:trPr>
          <w:trHeight w:val="100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中电温州电子信息产业园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63.0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B-28b地块一二期工程：除19#楼外主体结构全部封顶，二次结构砌体工程基本完全；外墙涂料</w:t>
            </w:r>
            <w:r>
              <w:rPr>
                <w:rFonts w:hint="eastAsia" w:eastAsia="仿宋_GB2312"/>
                <w:kern w:val="0"/>
                <w:sz w:val="18"/>
                <w:szCs w:val="18"/>
              </w:rPr>
              <w:t>、</w:t>
            </w:r>
            <w:r>
              <w:rPr>
                <w:rFonts w:eastAsia="仿宋_GB2312"/>
                <w:kern w:val="0"/>
                <w:sz w:val="18"/>
                <w:szCs w:val="18"/>
              </w:rPr>
              <w:t>综合管网开始施工。B-29b地块工程：完成审图</w:t>
            </w:r>
            <w:r>
              <w:rPr>
                <w:rFonts w:hint="eastAsia" w:eastAsia="仿宋_GB2312"/>
                <w:kern w:val="0"/>
                <w:sz w:val="18"/>
                <w:szCs w:val="18"/>
              </w:rPr>
              <w:t>和</w:t>
            </w:r>
            <w:r>
              <w:rPr>
                <w:rFonts w:eastAsia="仿宋_GB2312"/>
                <w:kern w:val="0"/>
                <w:sz w:val="18"/>
                <w:szCs w:val="18"/>
              </w:rPr>
              <w:t>工程规划许可证</w:t>
            </w:r>
            <w:r>
              <w:rPr>
                <w:rFonts w:hint="eastAsia" w:eastAsia="仿宋_GB2312"/>
                <w:kern w:val="0"/>
                <w:sz w:val="18"/>
                <w:szCs w:val="18"/>
              </w:rPr>
              <w:t>办理</w:t>
            </w:r>
            <w:r>
              <w:rPr>
                <w:rFonts w:eastAsia="仿宋_GB2312"/>
                <w:kern w:val="0"/>
                <w:sz w:val="18"/>
                <w:szCs w:val="18"/>
              </w:rPr>
              <w:t>，进行施工总承包单位招标。</w:t>
            </w:r>
          </w:p>
        </w:tc>
      </w:tr>
      <w:tr>
        <w:tblPrEx>
          <w:tblCellMar>
            <w:top w:w="0" w:type="dxa"/>
            <w:left w:w="108" w:type="dxa"/>
            <w:bottom w:w="0" w:type="dxa"/>
            <w:right w:w="108" w:type="dxa"/>
          </w:tblCellMar>
        </w:tblPrEx>
        <w:trPr>
          <w:trHeight w:val="670"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2#楼南侧屋面砼浇筑完成；幕墙：1#楼主楼龙骨安装完成10%，1#楼1-15层砌体完成，3#楼3-5层砌体完成。</w:t>
            </w:r>
          </w:p>
        </w:tc>
      </w:tr>
      <w:tr>
        <w:tblPrEx>
          <w:tblCellMar>
            <w:top w:w="0" w:type="dxa"/>
            <w:left w:w="108" w:type="dxa"/>
            <w:bottom w:w="0" w:type="dxa"/>
            <w:right w:w="108" w:type="dxa"/>
          </w:tblCellMar>
        </w:tblPrEx>
        <w:trPr>
          <w:trHeight w:val="927"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华峰新材料产业园*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65.1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I标段PU1、PU2、PU4车间主体完成，PU3、PU5正在施工。II标段WPU1车间、WPU2车间交付安装；污水处理站水池及附属工程正在施工。</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东新产城科技创意园一期</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项目展厅（城市客厅）完工，科创园桩基先行开工。</w:t>
            </w:r>
          </w:p>
        </w:tc>
      </w:tr>
      <w:tr>
        <w:tblPrEx>
          <w:tblCellMar>
            <w:top w:w="0" w:type="dxa"/>
            <w:left w:w="108" w:type="dxa"/>
            <w:bottom w:w="0" w:type="dxa"/>
            <w:right w:w="108" w:type="dxa"/>
          </w:tblCellMar>
        </w:tblPrEx>
        <w:trPr>
          <w:trHeight w:val="65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完成地基处理回填砂24万m</w:t>
            </w:r>
            <w:r>
              <w:rPr>
                <w:kern w:val="0"/>
                <w:sz w:val="18"/>
                <w:szCs w:val="18"/>
              </w:rPr>
              <w:t>³</w:t>
            </w:r>
            <w:r>
              <w:rPr>
                <w:rFonts w:eastAsia="仿宋_GB2312"/>
                <w:kern w:val="0"/>
                <w:sz w:val="18"/>
                <w:szCs w:val="18"/>
              </w:rPr>
              <w:t>、临海侧临时围堰吹填5.4万m</w:t>
            </w:r>
            <w:r>
              <w:rPr>
                <w:kern w:val="0"/>
                <w:sz w:val="18"/>
                <w:szCs w:val="18"/>
              </w:rPr>
              <w:t>³</w:t>
            </w:r>
            <w:r>
              <w:rPr>
                <w:rFonts w:eastAsia="仿宋_GB2312"/>
                <w:kern w:val="0"/>
                <w:sz w:val="18"/>
                <w:szCs w:val="18"/>
              </w:rPr>
              <w:t>、水泥搅拌桩17124根、PHC管桩3944根。</w:t>
            </w:r>
          </w:p>
        </w:tc>
      </w:tr>
      <w:tr>
        <w:tblPrEx>
          <w:tblCellMar>
            <w:top w:w="0" w:type="dxa"/>
            <w:left w:w="108" w:type="dxa"/>
            <w:bottom w:w="0" w:type="dxa"/>
            <w:right w:w="108" w:type="dxa"/>
          </w:tblCellMar>
        </w:tblPrEx>
        <w:trPr>
          <w:trHeight w:val="457"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136.6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主体施工中。</w:t>
            </w:r>
          </w:p>
        </w:tc>
      </w:tr>
      <w:tr>
        <w:tblPrEx>
          <w:tblCellMar>
            <w:top w:w="0" w:type="dxa"/>
            <w:left w:w="108" w:type="dxa"/>
            <w:bottom w:w="0" w:type="dxa"/>
            <w:right w:w="108" w:type="dxa"/>
          </w:tblCellMar>
        </w:tblPrEx>
        <w:trPr>
          <w:trHeight w:val="53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78.2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完成二装工程75%，净化单位45%。</w:t>
            </w:r>
          </w:p>
        </w:tc>
      </w:tr>
      <w:tr>
        <w:tblPrEx>
          <w:tblCellMar>
            <w:top w:w="0" w:type="dxa"/>
            <w:left w:w="108" w:type="dxa"/>
            <w:bottom w:w="0" w:type="dxa"/>
            <w:right w:w="108" w:type="dxa"/>
          </w:tblCellMar>
        </w:tblPrEx>
        <w:trPr>
          <w:trHeight w:val="370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85.8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eastAsia="仿宋_GB2312"/>
                <w:kern w:val="0"/>
                <w:sz w:val="18"/>
                <w:szCs w:val="18"/>
              </w:rPr>
              <w:t>天顶湖香水湾康体养生</w:t>
            </w:r>
            <w:bookmarkStart w:id="0" w:name="_GoBack"/>
            <w:bookmarkEnd w:id="0"/>
            <w:r>
              <w:rPr>
                <w:rFonts w:hint="eastAsia" w:eastAsia="仿宋_GB2312"/>
                <w:kern w:val="0"/>
                <w:sz w:val="18"/>
                <w:szCs w:val="18"/>
                <w:lang w:eastAsia="zh-CN"/>
              </w:rPr>
              <w:t>度假村</w:t>
            </w:r>
            <w:r>
              <w:rPr>
                <w:rFonts w:eastAsia="仿宋_GB2312"/>
                <w:kern w:val="0"/>
                <w:sz w:val="18"/>
                <w:szCs w:val="18"/>
              </w:rPr>
              <w:t>（天湖庄园）等项目正式开工建设；南田镇刘基庙外围仿古街区项目、黄坦镇栖真寺扩建项目等项目加快前期工作，争取节点开工。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刘基庙外围仿古街区项目完成土地回填、道路稳定层建设、景观围墙围合</w:t>
            </w:r>
            <w:r>
              <w:rPr>
                <w:rFonts w:hint="eastAsia" w:eastAsia="仿宋_GB2312"/>
                <w:kern w:val="0"/>
                <w:sz w:val="18"/>
                <w:szCs w:val="18"/>
              </w:rPr>
              <w:t>；</w:t>
            </w:r>
            <w:r>
              <w:rPr>
                <w:rFonts w:eastAsia="仿宋_GB2312"/>
                <w:kern w:val="0"/>
                <w:sz w:val="18"/>
                <w:szCs w:val="18"/>
              </w:rPr>
              <w:t>二级旅游服务中心及大门完成钢结构主体和一层墙面建设；刘伯温故里创建国家5A级旅游景区提升工程完工；天顶湖旅游接待中心完成C区公寓式酒店1号楼精装修50%，A2区独栋别墅群一标段40栋80%达到三层结构；天顶湖山地运动休闲中心完成2.8公里赛道路基贯通，发车台、观看台完成打桩；黄坦镇“东方慢城”飞云湖小镇绿城桃李春风子项目在办理施工许可证等相关手续；黄坦镇栖真寺扩建项目(凤凰山文化园）项目进行表土剥离；文成县百丈</w:t>
            </w:r>
            <w:r>
              <w:rPr>
                <w:kern w:val="0"/>
                <w:sz w:val="18"/>
                <w:szCs w:val="18"/>
              </w:rPr>
              <w:t>漈</w:t>
            </w:r>
            <w:r>
              <w:rPr>
                <w:rFonts w:eastAsia="仿宋_GB2312"/>
                <w:kern w:val="0"/>
                <w:sz w:val="18"/>
                <w:szCs w:val="18"/>
              </w:rPr>
              <w:t>驮坦至篁庄通景公路建设工程路基工程全线贯通，一标段水稳层铺设完成50%，二标段水稳层铺设基本完成。</w:t>
            </w:r>
          </w:p>
        </w:tc>
      </w:tr>
      <w:tr>
        <w:tblPrEx>
          <w:tblCellMar>
            <w:top w:w="0" w:type="dxa"/>
            <w:left w:w="108" w:type="dxa"/>
            <w:bottom w:w="0" w:type="dxa"/>
            <w:right w:w="108" w:type="dxa"/>
          </w:tblCellMar>
        </w:tblPrEx>
        <w:trPr>
          <w:trHeight w:val="65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183.3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完成地勘测绘、开发方案评审、工程施工许可证办理，启动工程建设。</w:t>
            </w:r>
          </w:p>
        </w:tc>
      </w:tr>
    </w:tbl>
    <w:p>
      <w:pPr>
        <w:spacing w:line="300" w:lineRule="exact"/>
        <w:ind w:right="210"/>
        <w:jc w:val="left"/>
        <w:rPr>
          <w:rFonts w:eastAsia="楷体_GB2312"/>
          <w:szCs w:val="21"/>
        </w:rPr>
      </w:pPr>
      <w:r>
        <w:rPr>
          <w:rFonts w:hint="eastAsia" w:eastAsia="仿宋_GB2312" w:cstheme="majorEastAsia"/>
          <w:szCs w:val="21"/>
        </w:rPr>
        <w:t>注：以上带</w:t>
      </w:r>
      <w:r>
        <w:rPr>
          <w:rFonts w:eastAsia="仿宋_GB2312" w:cstheme="majorEastAsia"/>
          <w:szCs w:val="21"/>
        </w:rPr>
        <w:t>*</w:t>
      </w:r>
      <w:r>
        <w:rPr>
          <w:rFonts w:hint="eastAsia" w:eastAsia="仿宋_GB2312" w:cstheme="majorEastAsia"/>
          <w:szCs w:val="21"/>
        </w:rPr>
        <w:t>项目为省“4+1”重大项目。</w:t>
      </w: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240" w:lineRule="atLeast"/>
        <w:rPr>
          <w:rFonts w:eastAsia="黑体"/>
          <w:sz w:val="32"/>
          <w:szCs w:val="32"/>
        </w:rPr>
      </w:pPr>
      <w:r>
        <w:rPr>
          <w:rFonts w:hint="eastAsia" w:eastAsia="黑体"/>
          <w:sz w:val="32"/>
          <w:szCs w:val="32"/>
        </w:rPr>
        <w:t>附件7</w:t>
      </w:r>
    </w:p>
    <w:p>
      <w:pPr>
        <w:spacing w:line="600" w:lineRule="exact"/>
        <w:jc w:val="center"/>
        <w:rPr>
          <w:rFonts w:eastAsia="方正小标宋简体"/>
          <w:sz w:val="36"/>
          <w:szCs w:val="36"/>
        </w:rPr>
      </w:pPr>
      <w:r>
        <w:rPr>
          <w:rFonts w:hint="eastAsia" w:eastAsia="方正小标宋简体"/>
          <w:sz w:val="36"/>
          <w:szCs w:val="36"/>
        </w:rPr>
        <w:t>2018年市重点建设进展滞后项目情况表（1-9月）</w:t>
      </w:r>
    </w:p>
    <w:p>
      <w:pPr>
        <w:spacing w:line="300" w:lineRule="exact"/>
        <w:ind w:right="210"/>
        <w:jc w:val="right"/>
        <w:rPr>
          <w:rFonts w:eastAsia="方正小标宋简体" w:cs="方正小标宋简体"/>
          <w:sz w:val="32"/>
          <w:szCs w:val="32"/>
        </w:rPr>
      </w:pPr>
      <w:r>
        <w:rPr>
          <w:rFonts w:hint="eastAsia" w:eastAsia="楷体_GB2312"/>
          <w:szCs w:val="21"/>
        </w:rPr>
        <w:t>单位：万元、%</w:t>
      </w:r>
    </w:p>
    <w:tbl>
      <w:tblPr>
        <w:tblStyle w:val="8"/>
        <w:tblW w:w="9842" w:type="dxa"/>
        <w:jc w:val="center"/>
        <w:tblLayout w:type="fixed"/>
        <w:tblCellMar>
          <w:top w:w="0" w:type="dxa"/>
          <w:left w:w="108" w:type="dxa"/>
          <w:bottom w:w="0" w:type="dxa"/>
          <w:right w:w="108" w:type="dxa"/>
        </w:tblCellMar>
      </w:tblPr>
      <w:tblGrid>
        <w:gridCol w:w="450"/>
        <w:gridCol w:w="761"/>
        <w:gridCol w:w="4025"/>
        <w:gridCol w:w="875"/>
        <w:gridCol w:w="709"/>
        <w:gridCol w:w="709"/>
        <w:gridCol w:w="708"/>
        <w:gridCol w:w="1605"/>
      </w:tblGrid>
      <w:tr>
        <w:tblPrEx>
          <w:tblCellMar>
            <w:top w:w="0" w:type="dxa"/>
            <w:left w:w="108" w:type="dxa"/>
            <w:bottom w:w="0" w:type="dxa"/>
            <w:right w:w="108" w:type="dxa"/>
          </w:tblCellMar>
        </w:tblPrEx>
        <w:trPr>
          <w:trHeight w:val="20" w:hRule="atLeast"/>
          <w:tblHeader/>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序号</w:t>
            </w:r>
          </w:p>
        </w:tc>
        <w:tc>
          <w:tcPr>
            <w:tcW w:w="7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责任</w:t>
            </w:r>
          </w:p>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单位</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项目名称</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总投资</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计划</w:t>
            </w:r>
          </w:p>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投资</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完成</w:t>
            </w:r>
          </w:p>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投资</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完成率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备注</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w:t>
            </w:r>
          </w:p>
        </w:tc>
        <w:tc>
          <w:tcPr>
            <w:tcW w:w="761"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szCs w:val="21"/>
              </w:rPr>
            </w:pPr>
            <w:r>
              <w:rPr>
                <w:rFonts w:hint="eastAsia" w:eastAsia="仿宋_GB2312" w:cstheme="majorEastAsia"/>
                <w:color w:val="000000"/>
                <w:kern w:val="0"/>
                <w:szCs w:val="21"/>
              </w:rPr>
              <w:t>鹿城区</w:t>
            </w:r>
          </w:p>
        </w:tc>
        <w:tc>
          <w:tcPr>
            <w:tcW w:w="40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戍浦江河道（藤桥至河口段）整治工程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99255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w:t>
            </w:r>
          </w:p>
        </w:tc>
        <w:tc>
          <w:tcPr>
            <w:tcW w:w="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鹿城区下桥城中村改造工程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58800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b/>
                <w:bCs/>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3</w:t>
            </w:r>
          </w:p>
        </w:tc>
        <w:tc>
          <w:tcPr>
            <w:tcW w:w="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门前山物流园</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7000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1203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17.2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4</w:t>
            </w:r>
          </w:p>
        </w:tc>
        <w:tc>
          <w:tcPr>
            <w:tcW w:w="761" w:type="dxa"/>
            <w:vMerge w:val="restart"/>
            <w:tcBorders>
              <w:top w:val="single" w:color="auto" w:sz="4" w:space="0"/>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szCs w:val="21"/>
              </w:rPr>
            </w:pPr>
            <w:r>
              <w:rPr>
                <w:rFonts w:hint="eastAsia" w:eastAsia="仿宋_GB2312" w:cstheme="majorEastAsia"/>
                <w:color w:val="000000"/>
                <w:kern w:val="0"/>
                <w:szCs w:val="21"/>
              </w:rPr>
              <w:t>龙湾区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温州生物材料与工程研究所一期建设工程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29479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2572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25.7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市领导挂钩项目</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5</w:t>
            </w:r>
          </w:p>
        </w:tc>
        <w:tc>
          <w:tcPr>
            <w:tcW w:w="76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浙南科技城龙水片（YB-04-I-02、YB-04-I-06地块）城中村改造工程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269379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12297</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30.7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6</w:t>
            </w:r>
          </w:p>
        </w:tc>
        <w:tc>
          <w:tcPr>
            <w:tcW w:w="76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浙南科技城互联网大厦</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99986</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1279</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12.8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7</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瓯海区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瓯海区霞坊路（温瑞大道-东方路）道路</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25508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1060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35.3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8</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温州乐园（二期）</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8000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3946</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49.3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9</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洞头区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洞头县鹿西白龙屿生态海洋牧场</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335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33.5</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10</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小门岛环岛公路工程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32102</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8000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2982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37.3</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11</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洞头城北污水处理厂</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32795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12</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乐清市</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b/>
                <w:bCs/>
                <w:color w:val="000000"/>
                <w:kern w:val="0"/>
                <w:szCs w:val="21"/>
              </w:rPr>
              <w:t>228国道至323省道连接线</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98000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color w:val="000000"/>
                <w:kern w:val="0"/>
                <w:sz w:val="18"/>
                <w:szCs w:val="18"/>
              </w:rPr>
              <w:t>计划9月开工，应开工未开工；</w:t>
            </w:r>
            <w:r>
              <w:rPr>
                <w:rFonts w:hint="eastAsia" w:eastAsia="仿宋_GB2312" w:cstheme="majorEastAsia"/>
                <w:color w:val="000000"/>
                <w:kern w:val="0"/>
                <w:sz w:val="18"/>
                <w:szCs w:val="18"/>
              </w:rPr>
              <w:t>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13</w:t>
            </w:r>
          </w:p>
        </w:tc>
        <w:tc>
          <w:tcPr>
            <w:tcW w:w="761" w:type="dxa"/>
            <w:tcBorders>
              <w:top w:val="single" w:color="auto" w:sz="4" w:space="0"/>
              <w:left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jc w:val="center"/>
              <w:rPr>
                <w:rFonts w:eastAsia="仿宋_GB2312" w:cstheme="majorEastAsia"/>
                <w:szCs w:val="21"/>
              </w:rPr>
            </w:pPr>
            <w:r>
              <w:rPr>
                <w:rFonts w:hint="eastAsia" w:eastAsia="仿宋_GB2312" w:cstheme="majorEastAsia"/>
                <w:szCs w:val="21"/>
              </w:rPr>
              <w:t>永嘉县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永嘉县图书馆、档案馆工程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16500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440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22.0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14</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文成县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文成县黄坦镇低丘缓坡开发基础设施配套项目（一）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33560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176</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11.7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文成县职业中等专业学校（党校、成人教育中心）迁建工程项目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21800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2200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640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29.1</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16</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文成县下沙</w:t>
            </w:r>
            <w:r>
              <w:rPr>
                <w:rFonts w:hint="eastAsia" w:cs="宋体"/>
                <w:color w:val="000000"/>
                <w:kern w:val="0"/>
                <w:szCs w:val="21"/>
              </w:rPr>
              <w:t>垟</w:t>
            </w:r>
            <w:r>
              <w:rPr>
                <w:rFonts w:hint="eastAsia" w:eastAsia="仿宋_GB2312" w:cs="仿宋_GB2312"/>
                <w:color w:val="000000"/>
                <w:kern w:val="0"/>
                <w:szCs w:val="21"/>
              </w:rPr>
              <w:t>城中村项目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130808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10930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36.4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市领导挂钩项目、省重点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17</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tabs>
                <w:tab w:val="left" w:pos="313"/>
              </w:tabs>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平阳县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年产250万平方米光学膜生产基地建设项目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46340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500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泰顺县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泰顺县南浦溪景区开发</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34000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2485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49.7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19</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苍南县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苍南县二医迁建工程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60000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80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4.0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20</w:t>
            </w:r>
          </w:p>
        </w:tc>
        <w:tc>
          <w:tcPr>
            <w:tcW w:w="761" w:type="dxa"/>
            <w:vMerge w:val="restart"/>
            <w:tcBorders>
              <w:top w:val="single" w:color="000000" w:sz="4" w:space="0"/>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瓯江口集聚区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pacing w:val="-6"/>
                <w:szCs w:val="21"/>
              </w:rPr>
            </w:pPr>
            <w:r>
              <w:rPr>
                <w:rFonts w:hint="eastAsia" w:eastAsia="仿宋_GB2312" w:cstheme="majorEastAsia"/>
                <w:b/>
                <w:bCs/>
                <w:color w:val="000000"/>
                <w:spacing w:val="-6"/>
                <w:kern w:val="0"/>
                <w:szCs w:val="21"/>
              </w:rPr>
              <w:t>沈海高速复线瓯江口产业集聚区连接线工程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74300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color w:val="000000"/>
                <w:kern w:val="0"/>
                <w:sz w:val="18"/>
                <w:szCs w:val="18"/>
              </w:rPr>
              <w:t>计划6月开工，应开工未开工</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21</w:t>
            </w:r>
          </w:p>
        </w:tc>
        <w:tc>
          <w:tcPr>
            <w:tcW w:w="761" w:type="dxa"/>
            <w:vMerge w:val="continue"/>
            <w:tcBorders>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kern w:val="0"/>
                <w:szCs w:val="21"/>
              </w:rPr>
            </w:pPr>
            <w:r>
              <w:rPr>
                <w:rFonts w:hint="eastAsia" w:eastAsia="仿宋_GB2312" w:cstheme="majorEastAsia"/>
                <w:b/>
                <w:bCs/>
                <w:color w:val="000000"/>
                <w:kern w:val="0"/>
                <w:szCs w:val="21"/>
              </w:rPr>
              <w:t>228国道洞头灵昆段工程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210600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00" w:lineRule="exact"/>
              <w:jc w:val="center"/>
              <w:textAlignment w:val="center"/>
              <w:rPr>
                <w:rFonts w:eastAsia="仿宋_GB2312" w:cstheme="majorEastAsia"/>
                <w:color w:val="000000"/>
                <w:kern w:val="0"/>
                <w:sz w:val="18"/>
                <w:szCs w:val="18"/>
              </w:rPr>
            </w:pPr>
            <w:r>
              <w:rPr>
                <w:rFonts w:hint="eastAsia" w:eastAsia="仿宋_GB2312" w:cstheme="majorEastAsia"/>
                <w:b/>
                <w:color w:val="000000"/>
                <w:kern w:val="0"/>
                <w:sz w:val="18"/>
                <w:szCs w:val="18"/>
              </w:rPr>
              <w:t>计划9月开工，应开工未开工；</w:t>
            </w:r>
            <w:r>
              <w:rPr>
                <w:rFonts w:hint="eastAsia" w:eastAsia="仿宋_GB2312" w:cstheme="majorEastAsia"/>
                <w:color w:val="000000"/>
                <w:kern w:val="0"/>
                <w:sz w:val="18"/>
                <w:szCs w:val="18"/>
              </w:rPr>
              <w:t>市领导挂钩项目、省重点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22</w:t>
            </w:r>
          </w:p>
        </w:tc>
        <w:tc>
          <w:tcPr>
            <w:tcW w:w="761" w:type="dxa"/>
            <w:vMerge w:val="restart"/>
            <w:tcBorders>
              <w:top w:val="single" w:color="000000" w:sz="4" w:space="0"/>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浙南</w:t>
            </w:r>
          </w:p>
          <w:p>
            <w:pPr>
              <w:widowControl/>
              <w:spacing w:line="240" w:lineRule="exact"/>
              <w:jc w:val="center"/>
              <w:textAlignment w:val="center"/>
              <w:rPr>
                <w:rFonts w:eastAsia="仿宋_GB2312" w:cstheme="majorEastAsia"/>
                <w:szCs w:val="21"/>
              </w:rPr>
            </w:pPr>
            <w:r>
              <w:rPr>
                <w:rFonts w:hint="eastAsia" w:eastAsia="仿宋_GB2312" w:cstheme="majorEastAsia"/>
                <w:color w:val="000000"/>
                <w:kern w:val="0"/>
                <w:szCs w:val="21"/>
              </w:rPr>
              <w:t>集聚区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百威英博（温州）啤酒有限公司年产120万吨啤酒项目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1325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6.6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23</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华廷大酒店</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4931</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49.3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24</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市铁投集团</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kern w:val="0"/>
                <w:szCs w:val="21"/>
              </w:rPr>
            </w:pPr>
            <w:r>
              <w:rPr>
                <w:rFonts w:hint="eastAsia" w:eastAsia="仿宋_GB2312" w:cstheme="majorEastAsia"/>
                <w:color w:val="000000"/>
                <w:kern w:val="0"/>
                <w:szCs w:val="21"/>
              </w:rPr>
              <w:t>杭温高铁一期（温州段）</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1170000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80000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2054</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2.6</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市领导挂钩项目，</w:t>
            </w: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25</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市公安局</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温州市监管中心建设工程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70172</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14000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6199</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44.3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bl>
    <w:p>
      <w:pPr>
        <w:tabs>
          <w:tab w:val="left" w:pos="8445"/>
        </w:tabs>
        <w:spacing w:line="240" w:lineRule="exact"/>
        <w:rPr>
          <w:rFonts w:eastAsia="仿宋_GB2312" w:cstheme="majorEastAsia"/>
          <w:spacing w:val="-4"/>
          <w:szCs w:val="21"/>
        </w:rPr>
      </w:pPr>
      <w:r>
        <w:rPr>
          <w:rFonts w:hint="eastAsia" w:eastAsia="仿宋_GB2312" w:cstheme="majorEastAsia"/>
          <w:szCs w:val="21"/>
        </w:rPr>
        <w:t>注：以上均为</w:t>
      </w:r>
      <w:r>
        <w:rPr>
          <w:rFonts w:hint="eastAsia" w:eastAsia="仿宋_GB2312" w:cstheme="majorEastAsia"/>
          <w:spacing w:val="-4"/>
          <w:szCs w:val="21"/>
        </w:rPr>
        <w:t>1-9月投资完成率为50%（含）以下的项目，不包括7月及以后开工项目。</w:t>
      </w:r>
    </w:p>
    <w:sectPr>
      <w:headerReference r:id="rId4" w:type="default"/>
      <w:footerReference r:id="rId5" w:type="default"/>
      <w:footerReference r:id="rId6" w:type="even"/>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6387" o:spid="_x0000_s1638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nCGg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6KZQotOP76ffv4+/fpGriI9rfUzRG0s4kL3znRo83DvcRmr&#10;7iqn4o56CPwg+nghV3SB8PhoOplOc7g4fMMB+NnTc+t8eC+MItEoqEP3EqnssPahDx1C4m/arBop&#10;UwelJi1KuHqbpwcXD8CljrEiaeEME0vqU49W6Lbduc6tKY8o05leJ97yVYNU1syHB+YgDKQPsYd7&#10;LJU0+NKcLUpq477+7T7Go1/wUtJCaAXVmARK5AeNPkZNDoYbjO1g6L26NVDuGENkeTLxwAU5mJUz&#10;6gsmYBn/gItpjp8KGgbzNvRixwRxsVymICjPsrDWG8sjdKTH2+U+gM7EciSlZwLdiQdoL/XpPCdR&#10;3H+eU9TTNC8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PpwhoFgIAABUEAAAOAAAAAAAA&#10;AAEAIAAAAB8BAABkcnMvZTJvRG9jLnhtbFBLBQYAAAAABgAGAFkBAACnBQAAAAA=&#10;">
          <v:path/>
          <v:fill on="f" focussize="0,0"/>
          <v:stroke on="f" weight="0.5pt" joinstyle="miter"/>
          <v:imagedata o:title=""/>
          <o:lock v:ext="edit"/>
          <v:textbox inset="0mm,0mm,0mm,0mm" style="mso-fit-shape-to-text:t;">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 o:spid="_x0000_s16386" o:spt="202" type="#_x0000_t202" style="position:absolute;left:0pt;margin-top:0pt;height:19.5pt;width:52.5pt;mso-position-horizontal:center;mso-position-horizontal-relative:margin;z-index:251660288;mso-width-relative:page;mso-height-relative:page;" filled="f" stroked="f" coordsize="21600,21600" o:gfxdata="UEsDBAoAAAAAAIdO4kAAAAAAAAAAAAAAAAAEAAAAZHJzL1BLAwQUAAAACACHTuJAW2620tMAAAAE&#10;AQAADwAAAGRycy9kb3ducmV2LnhtbE2PzU7DMBCE70i8g7VI3KhdEFUb4lQVghMSIk0PHJ14m1iN&#10;12ns/vD2bLnQy0ijWc18my/PvhdHHKMLpGE6USCQmmAdtRo21fvDHERMhqzpA6GGH4ywLG5vcpPZ&#10;cKISj+vUCi6hmBkNXUpDJmVsOvQmTsKAxNk2jN4ktmMr7WhOXO57+ajUTHrjiBc6M+Brh81uffAa&#10;Vt9Uvrn9Z/1VbktXVQtFH7Od1vd3U/UCIuE5/R/DBZ/RoWCmOhzIRtFr4EfSn14y9cy21vC0UCCL&#10;XF7DF79QSwMEFAAAAAgAh07iQJdbYVfAAQAAYgMAAA4AAABkcnMvZTJvRG9jLnhtbK1TTa7TMBDe&#10;I3EHy3uatqIpRHWfQE8PISFAenAA17EbS/5j7DbpBeAGrNiw51w9xxu7SR+CHWLjjGfG38z3zWRz&#10;M1hDjhKi9o7RxWxOiXTCt9rtGf386e7ZC0pi4q7lxjvJ6ElGerN9+mTTh0YufedNK4EgiItNHxjt&#10;UgpNVUXRScvjzAfpMKg8WJ7wCvuqBd4jujXVcj6vq95DG8ALGSN6by9Bui34SkmRPigVZSKGUewt&#10;lRPKuctntd3wZg88dFqMbfB/6MJy7bDoFeqWJ04OoP+CslqAj16lmfC28kppIQsHZLOY/8HmvuNB&#10;Fi4oTgxXmeL/gxXvjx+B6JbRNSWOWxzR+fu3849f559fySLL04fYYNZ9wLw0vPYDjnnyR3Rm1oMC&#10;m7/Ih2AchT5dxZVDIgKddV2vVxgRGFo+X9doI3r1+DhATG+ktyQbjALOrkjKj+9iuqROKbmW83fa&#10;mDI/40jP6MvVclUeXCMIblzOlWUTRphM6NJ4ttKwG0aWO9+ekGSP28Bo/HLgICkxbx3KnVdnMmAy&#10;dpNxCKD3Hfa8GOu/OiSvdGk617gAI9l8wUEW2uPS5U35/V6yHn+N7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bbrbS0wAAAAQBAAAPAAAAAAAAAAEAIAAAACIAAABkcnMvZG93bnJldi54bWxQSwEC&#10;FAAUAAAACACHTuJAl1thV8ABAABiAwAADgAAAAAAAAABACAAAAAiAQAAZHJzL2Uyb0RvYy54bWxQ&#10;SwUGAAAAAAYABgBZAQAAVAUAAAAA&#10;">
          <v:path/>
          <v:fill on="f" focussize="0,0"/>
          <v:stroke on="f" joinstyle="miter"/>
          <v:imagedata o:title=""/>
          <o:lock v:ext="edit"/>
          <v:textbox inset="0mm,0mm,0mm,0mm">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6385" o:spid="_x0000_s16385"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N8kHRvAAQAAYAMAAA4AAABkcnMvZTJvRG9jLnhtbK1TzW4TMRC+I/Ud&#10;LN/J7qYNoqs4FahqhYQAqe0DOF47a8l/8jjZzQvAG3Diwp3nynN07GRTBDfExTvjGX8z3zezy5vR&#10;GrKTEbR3jDazmhLphO+02zD69Hj3+i0lkLjruPFOMrqXQG9WF6+WQ2jl3PfedDISBHHQDoHRPqXQ&#10;VhWIXloOMx+kw6Dy0fKEbtxUXeQDoltTzev6TTX42IXohQTA29tjkK4KvlJSpM9KgUzEMIq9pXLG&#10;cq7zWa2WvN1EHnotTm3wf+jCcu2w6BnqlidOtlH/BWW1iB68SjPhbeWV0kIWDsimqf9g89DzIAsX&#10;FAfCWSb4f7Di0+5LJLpjFAfluMURHb5/O/z4dfj5lVxmeYYALWY9BMxL43s/4pine8DLzHpU0eYv&#10;8iEYR6H3Z3HlmIjIj67rRY0RgaHmsrm6WmSU6uVxiJDupbckG4xGnF2RlO8+QjqmTim5lvN32pgy&#10;P+PIwOj1Yr4oD84RBDcu58qyCSeYTOjYeLbSuB5PLNe+2yPJAbeBUYfrSon54FDsvDiTESdjPRnb&#10;EPWmx46bUh3Cu23C3krLucIRFqlmB8dYSJ9WLu/J737JevkxV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pFLs0AAAAAMBAAAPAAAAAAAAAAEAIAAAACIAAABkcnMvZG93bnJldi54bWxQSwECFAAU&#10;AAAACACHTuJA3yQdG8ABAABgAwAADgAAAAAAAAABACAAAAAfAQAAZHJzL2Uyb0RvYy54bWxQSwUG&#10;AAAAAAYABgBZAQAAUQUAAAAA&#1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- 12 -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ZhNmRhMzQ5NGYzN2I0Njk5MTBiNTcwNWUyOWMzYmYifQ=="/>
  </w:docVars>
  <w:rsids>
    <w:rsidRoot w:val="00087F87"/>
    <w:rsid w:val="0000023C"/>
    <w:rsid w:val="00000374"/>
    <w:rsid w:val="00000DB2"/>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1C6"/>
    <w:rsid w:val="000234D8"/>
    <w:rsid w:val="00023BFA"/>
    <w:rsid w:val="00024312"/>
    <w:rsid w:val="000245BB"/>
    <w:rsid w:val="00024759"/>
    <w:rsid w:val="000249DB"/>
    <w:rsid w:val="00025323"/>
    <w:rsid w:val="0002537A"/>
    <w:rsid w:val="0002609F"/>
    <w:rsid w:val="000276D3"/>
    <w:rsid w:val="00030038"/>
    <w:rsid w:val="00030048"/>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22C9"/>
    <w:rsid w:val="00043886"/>
    <w:rsid w:val="0004393C"/>
    <w:rsid w:val="000439B0"/>
    <w:rsid w:val="00043DE9"/>
    <w:rsid w:val="00044F47"/>
    <w:rsid w:val="000451B5"/>
    <w:rsid w:val="000463D5"/>
    <w:rsid w:val="00046FD7"/>
    <w:rsid w:val="000474D5"/>
    <w:rsid w:val="00047FE6"/>
    <w:rsid w:val="0005025E"/>
    <w:rsid w:val="00050AF1"/>
    <w:rsid w:val="00051598"/>
    <w:rsid w:val="0005167B"/>
    <w:rsid w:val="000517AF"/>
    <w:rsid w:val="0005181A"/>
    <w:rsid w:val="0005284D"/>
    <w:rsid w:val="0005293B"/>
    <w:rsid w:val="00052CEE"/>
    <w:rsid w:val="00053FCD"/>
    <w:rsid w:val="0005416F"/>
    <w:rsid w:val="00054FD2"/>
    <w:rsid w:val="000553E0"/>
    <w:rsid w:val="0005573A"/>
    <w:rsid w:val="00055EB1"/>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4E"/>
    <w:rsid w:val="00065975"/>
    <w:rsid w:val="00066813"/>
    <w:rsid w:val="00067518"/>
    <w:rsid w:val="00067D9A"/>
    <w:rsid w:val="00070FDE"/>
    <w:rsid w:val="00071152"/>
    <w:rsid w:val="0007148D"/>
    <w:rsid w:val="000715DF"/>
    <w:rsid w:val="000725BA"/>
    <w:rsid w:val="000729CA"/>
    <w:rsid w:val="0007368D"/>
    <w:rsid w:val="00073E69"/>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BAD"/>
    <w:rsid w:val="000B3DFD"/>
    <w:rsid w:val="000B4252"/>
    <w:rsid w:val="000B4F58"/>
    <w:rsid w:val="000B525D"/>
    <w:rsid w:val="000B74C5"/>
    <w:rsid w:val="000B7557"/>
    <w:rsid w:val="000B7631"/>
    <w:rsid w:val="000C0BA7"/>
    <w:rsid w:val="000C1692"/>
    <w:rsid w:val="000C2041"/>
    <w:rsid w:val="000C2C19"/>
    <w:rsid w:val="000C31F6"/>
    <w:rsid w:val="000C35AA"/>
    <w:rsid w:val="000C38C6"/>
    <w:rsid w:val="000C40FC"/>
    <w:rsid w:val="000C4C7E"/>
    <w:rsid w:val="000C4F50"/>
    <w:rsid w:val="000C506E"/>
    <w:rsid w:val="000C509B"/>
    <w:rsid w:val="000C5726"/>
    <w:rsid w:val="000C6169"/>
    <w:rsid w:val="000C6B4A"/>
    <w:rsid w:val="000C6CB9"/>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70D"/>
    <w:rsid w:val="00124E98"/>
    <w:rsid w:val="00126293"/>
    <w:rsid w:val="00126C9B"/>
    <w:rsid w:val="00126D89"/>
    <w:rsid w:val="00127514"/>
    <w:rsid w:val="00127854"/>
    <w:rsid w:val="0013044D"/>
    <w:rsid w:val="00130B3F"/>
    <w:rsid w:val="00130FB0"/>
    <w:rsid w:val="0013112D"/>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2B3"/>
    <w:rsid w:val="00147944"/>
    <w:rsid w:val="00147D9A"/>
    <w:rsid w:val="00147DC2"/>
    <w:rsid w:val="001500DA"/>
    <w:rsid w:val="001501A6"/>
    <w:rsid w:val="001502DB"/>
    <w:rsid w:val="00150C25"/>
    <w:rsid w:val="00151205"/>
    <w:rsid w:val="0015184F"/>
    <w:rsid w:val="00151850"/>
    <w:rsid w:val="00151B41"/>
    <w:rsid w:val="00151E2B"/>
    <w:rsid w:val="001525E8"/>
    <w:rsid w:val="001526FB"/>
    <w:rsid w:val="0015306B"/>
    <w:rsid w:val="00153457"/>
    <w:rsid w:val="00153590"/>
    <w:rsid w:val="00153B76"/>
    <w:rsid w:val="001542F7"/>
    <w:rsid w:val="00154D21"/>
    <w:rsid w:val="00154D60"/>
    <w:rsid w:val="00155020"/>
    <w:rsid w:val="001551B0"/>
    <w:rsid w:val="001553F9"/>
    <w:rsid w:val="001554BB"/>
    <w:rsid w:val="00155AB0"/>
    <w:rsid w:val="00156048"/>
    <w:rsid w:val="0015626D"/>
    <w:rsid w:val="0015666F"/>
    <w:rsid w:val="001566F8"/>
    <w:rsid w:val="001571EC"/>
    <w:rsid w:val="00157512"/>
    <w:rsid w:val="00157F84"/>
    <w:rsid w:val="001600F3"/>
    <w:rsid w:val="00160890"/>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3725"/>
    <w:rsid w:val="001B38ED"/>
    <w:rsid w:val="001B3AFB"/>
    <w:rsid w:val="001B5B41"/>
    <w:rsid w:val="001B6167"/>
    <w:rsid w:val="001B6618"/>
    <w:rsid w:val="001B66E8"/>
    <w:rsid w:val="001B6AB9"/>
    <w:rsid w:val="001B78E3"/>
    <w:rsid w:val="001B7BA1"/>
    <w:rsid w:val="001C058D"/>
    <w:rsid w:val="001C06B0"/>
    <w:rsid w:val="001C09CC"/>
    <w:rsid w:val="001C0C07"/>
    <w:rsid w:val="001C17B3"/>
    <w:rsid w:val="001C17D5"/>
    <w:rsid w:val="001C182F"/>
    <w:rsid w:val="001C1DDF"/>
    <w:rsid w:val="001C1E08"/>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236A"/>
    <w:rsid w:val="001E2519"/>
    <w:rsid w:val="001E2807"/>
    <w:rsid w:val="001E2A24"/>
    <w:rsid w:val="001E2CAE"/>
    <w:rsid w:val="001E2D63"/>
    <w:rsid w:val="001E3562"/>
    <w:rsid w:val="001E43BC"/>
    <w:rsid w:val="001E4813"/>
    <w:rsid w:val="001E4F8B"/>
    <w:rsid w:val="001E5CAD"/>
    <w:rsid w:val="001E5F40"/>
    <w:rsid w:val="001E6F3C"/>
    <w:rsid w:val="001E731B"/>
    <w:rsid w:val="001E7913"/>
    <w:rsid w:val="001E79B7"/>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4810"/>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742"/>
    <w:rsid w:val="00284D23"/>
    <w:rsid w:val="002857CC"/>
    <w:rsid w:val="002857F1"/>
    <w:rsid w:val="00286075"/>
    <w:rsid w:val="00286231"/>
    <w:rsid w:val="002873FC"/>
    <w:rsid w:val="00290022"/>
    <w:rsid w:val="0029019A"/>
    <w:rsid w:val="00290CE3"/>
    <w:rsid w:val="00291362"/>
    <w:rsid w:val="002914FE"/>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341"/>
    <w:rsid w:val="002A3769"/>
    <w:rsid w:val="002A3A77"/>
    <w:rsid w:val="002A4024"/>
    <w:rsid w:val="002A4F54"/>
    <w:rsid w:val="002A6036"/>
    <w:rsid w:val="002A6784"/>
    <w:rsid w:val="002A6A54"/>
    <w:rsid w:val="002A6CE3"/>
    <w:rsid w:val="002A73EF"/>
    <w:rsid w:val="002A7819"/>
    <w:rsid w:val="002B01E6"/>
    <w:rsid w:val="002B025F"/>
    <w:rsid w:val="002B05A7"/>
    <w:rsid w:val="002B14ED"/>
    <w:rsid w:val="002B1D91"/>
    <w:rsid w:val="002B2C69"/>
    <w:rsid w:val="002B3ED6"/>
    <w:rsid w:val="002B5707"/>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214"/>
    <w:rsid w:val="002C43B4"/>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2EB"/>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09F6"/>
    <w:rsid w:val="002F17B9"/>
    <w:rsid w:val="002F1A30"/>
    <w:rsid w:val="002F21C4"/>
    <w:rsid w:val="002F22DC"/>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14D0"/>
    <w:rsid w:val="00341D30"/>
    <w:rsid w:val="003423EE"/>
    <w:rsid w:val="00342A50"/>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AC0"/>
    <w:rsid w:val="00356E79"/>
    <w:rsid w:val="00357494"/>
    <w:rsid w:val="00357496"/>
    <w:rsid w:val="00360B68"/>
    <w:rsid w:val="00362136"/>
    <w:rsid w:val="003622C5"/>
    <w:rsid w:val="00362391"/>
    <w:rsid w:val="0036251D"/>
    <w:rsid w:val="00362E31"/>
    <w:rsid w:val="003633DA"/>
    <w:rsid w:val="0036353B"/>
    <w:rsid w:val="00363677"/>
    <w:rsid w:val="00363F91"/>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453"/>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B9A"/>
    <w:rsid w:val="003B6FCF"/>
    <w:rsid w:val="003B6FDF"/>
    <w:rsid w:val="003B759E"/>
    <w:rsid w:val="003B7763"/>
    <w:rsid w:val="003B78C6"/>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5768"/>
    <w:rsid w:val="003D5FCE"/>
    <w:rsid w:val="003D672D"/>
    <w:rsid w:val="003D6AFF"/>
    <w:rsid w:val="003D77A3"/>
    <w:rsid w:val="003D7932"/>
    <w:rsid w:val="003D7A61"/>
    <w:rsid w:val="003D7D03"/>
    <w:rsid w:val="003E0E14"/>
    <w:rsid w:val="003E1ADD"/>
    <w:rsid w:val="003E25E4"/>
    <w:rsid w:val="003E4107"/>
    <w:rsid w:val="003E5554"/>
    <w:rsid w:val="003E576E"/>
    <w:rsid w:val="003E5C86"/>
    <w:rsid w:val="003E6590"/>
    <w:rsid w:val="003E6ADC"/>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22F"/>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36E"/>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3A61"/>
    <w:rsid w:val="00464125"/>
    <w:rsid w:val="004641F8"/>
    <w:rsid w:val="004653DE"/>
    <w:rsid w:val="00465EBB"/>
    <w:rsid w:val="00465ECF"/>
    <w:rsid w:val="00465FDA"/>
    <w:rsid w:val="00466415"/>
    <w:rsid w:val="00466B9B"/>
    <w:rsid w:val="004672B2"/>
    <w:rsid w:val="00467E41"/>
    <w:rsid w:val="004700C7"/>
    <w:rsid w:val="00470BF4"/>
    <w:rsid w:val="004713CD"/>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B47"/>
    <w:rsid w:val="004D5E3A"/>
    <w:rsid w:val="004D6031"/>
    <w:rsid w:val="004D60EE"/>
    <w:rsid w:val="004D6767"/>
    <w:rsid w:val="004D6B1E"/>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87A"/>
    <w:rsid w:val="004E3997"/>
    <w:rsid w:val="004E4556"/>
    <w:rsid w:val="004E4ADE"/>
    <w:rsid w:val="004E63EB"/>
    <w:rsid w:val="004E6413"/>
    <w:rsid w:val="004E6AE4"/>
    <w:rsid w:val="004E7EA2"/>
    <w:rsid w:val="004F04A5"/>
    <w:rsid w:val="004F04E5"/>
    <w:rsid w:val="004F0CCA"/>
    <w:rsid w:val="004F0E9A"/>
    <w:rsid w:val="004F1B3E"/>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19D1"/>
    <w:rsid w:val="00532156"/>
    <w:rsid w:val="0053260C"/>
    <w:rsid w:val="00532AD0"/>
    <w:rsid w:val="0053421A"/>
    <w:rsid w:val="00534BD5"/>
    <w:rsid w:val="0053507E"/>
    <w:rsid w:val="00535491"/>
    <w:rsid w:val="00535FCB"/>
    <w:rsid w:val="00536BBF"/>
    <w:rsid w:val="00537538"/>
    <w:rsid w:val="005375BC"/>
    <w:rsid w:val="00537750"/>
    <w:rsid w:val="00540580"/>
    <w:rsid w:val="005407C0"/>
    <w:rsid w:val="00540971"/>
    <w:rsid w:val="00541846"/>
    <w:rsid w:val="00541851"/>
    <w:rsid w:val="0054189A"/>
    <w:rsid w:val="00541CA3"/>
    <w:rsid w:val="0054354B"/>
    <w:rsid w:val="00543E53"/>
    <w:rsid w:val="00543F0E"/>
    <w:rsid w:val="00544D31"/>
    <w:rsid w:val="00545D32"/>
    <w:rsid w:val="00546767"/>
    <w:rsid w:val="00546C08"/>
    <w:rsid w:val="00550B24"/>
    <w:rsid w:val="00550FBF"/>
    <w:rsid w:val="00551089"/>
    <w:rsid w:val="005512E8"/>
    <w:rsid w:val="00551D57"/>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0FF4"/>
    <w:rsid w:val="00581535"/>
    <w:rsid w:val="005824B9"/>
    <w:rsid w:val="00584767"/>
    <w:rsid w:val="005857BC"/>
    <w:rsid w:val="00585907"/>
    <w:rsid w:val="00585C88"/>
    <w:rsid w:val="00586906"/>
    <w:rsid w:val="0058692F"/>
    <w:rsid w:val="00586B99"/>
    <w:rsid w:val="005870C4"/>
    <w:rsid w:val="005873D5"/>
    <w:rsid w:val="0059056D"/>
    <w:rsid w:val="0059075B"/>
    <w:rsid w:val="00590EB8"/>
    <w:rsid w:val="00591998"/>
    <w:rsid w:val="00591C97"/>
    <w:rsid w:val="00592309"/>
    <w:rsid w:val="00592B32"/>
    <w:rsid w:val="00593523"/>
    <w:rsid w:val="00593699"/>
    <w:rsid w:val="0059472B"/>
    <w:rsid w:val="005953B5"/>
    <w:rsid w:val="005954B1"/>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010"/>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1A32"/>
    <w:rsid w:val="005E2371"/>
    <w:rsid w:val="005E283A"/>
    <w:rsid w:val="005E399C"/>
    <w:rsid w:val="005E3BB2"/>
    <w:rsid w:val="005E3C9B"/>
    <w:rsid w:val="005E4BA1"/>
    <w:rsid w:val="005E55CF"/>
    <w:rsid w:val="005E5918"/>
    <w:rsid w:val="005E68A5"/>
    <w:rsid w:val="005E738F"/>
    <w:rsid w:val="005E7608"/>
    <w:rsid w:val="005E76A8"/>
    <w:rsid w:val="005E7EFA"/>
    <w:rsid w:val="005F0F5C"/>
    <w:rsid w:val="005F16D8"/>
    <w:rsid w:val="005F19DC"/>
    <w:rsid w:val="005F1DB6"/>
    <w:rsid w:val="005F1FE6"/>
    <w:rsid w:val="005F2786"/>
    <w:rsid w:val="005F4843"/>
    <w:rsid w:val="005F4AE2"/>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07318"/>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FF8"/>
    <w:rsid w:val="00622208"/>
    <w:rsid w:val="006223EC"/>
    <w:rsid w:val="00622800"/>
    <w:rsid w:val="00624088"/>
    <w:rsid w:val="00624B33"/>
    <w:rsid w:val="00624F2F"/>
    <w:rsid w:val="00625D14"/>
    <w:rsid w:val="006301D1"/>
    <w:rsid w:val="00630B00"/>
    <w:rsid w:val="006319FF"/>
    <w:rsid w:val="00631CD2"/>
    <w:rsid w:val="00632070"/>
    <w:rsid w:val="006320A8"/>
    <w:rsid w:val="00632735"/>
    <w:rsid w:val="00632A11"/>
    <w:rsid w:val="00633202"/>
    <w:rsid w:val="006337E3"/>
    <w:rsid w:val="006342F7"/>
    <w:rsid w:val="006344A2"/>
    <w:rsid w:val="006344BE"/>
    <w:rsid w:val="00635419"/>
    <w:rsid w:val="00635491"/>
    <w:rsid w:val="00635704"/>
    <w:rsid w:val="00635A81"/>
    <w:rsid w:val="0063690D"/>
    <w:rsid w:val="00636C45"/>
    <w:rsid w:val="00640366"/>
    <w:rsid w:val="006406D8"/>
    <w:rsid w:val="00640C64"/>
    <w:rsid w:val="006411E3"/>
    <w:rsid w:val="006411F0"/>
    <w:rsid w:val="00641579"/>
    <w:rsid w:val="006417E1"/>
    <w:rsid w:val="00641BC2"/>
    <w:rsid w:val="00642273"/>
    <w:rsid w:val="0064435F"/>
    <w:rsid w:val="00645144"/>
    <w:rsid w:val="00645286"/>
    <w:rsid w:val="00645C96"/>
    <w:rsid w:val="00645D1B"/>
    <w:rsid w:val="0064695E"/>
    <w:rsid w:val="00646F17"/>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CB2"/>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10"/>
    <w:rsid w:val="006E40CA"/>
    <w:rsid w:val="006E46DB"/>
    <w:rsid w:val="006E4905"/>
    <w:rsid w:val="006E4E55"/>
    <w:rsid w:val="006E52FE"/>
    <w:rsid w:val="006E5617"/>
    <w:rsid w:val="006E6489"/>
    <w:rsid w:val="006E703E"/>
    <w:rsid w:val="006E7243"/>
    <w:rsid w:val="006E7E5C"/>
    <w:rsid w:val="006F00DC"/>
    <w:rsid w:val="006F06B1"/>
    <w:rsid w:val="006F0731"/>
    <w:rsid w:val="006F2575"/>
    <w:rsid w:val="006F2D62"/>
    <w:rsid w:val="006F303F"/>
    <w:rsid w:val="006F393A"/>
    <w:rsid w:val="006F4D7F"/>
    <w:rsid w:val="006F4E1E"/>
    <w:rsid w:val="006F4ECE"/>
    <w:rsid w:val="006F5434"/>
    <w:rsid w:val="006F5484"/>
    <w:rsid w:val="006F5CE2"/>
    <w:rsid w:val="006F6033"/>
    <w:rsid w:val="006F7173"/>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26AA"/>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870"/>
    <w:rsid w:val="00752C36"/>
    <w:rsid w:val="00752DAA"/>
    <w:rsid w:val="00753C37"/>
    <w:rsid w:val="00754826"/>
    <w:rsid w:val="0075496E"/>
    <w:rsid w:val="00755A83"/>
    <w:rsid w:val="00755D5F"/>
    <w:rsid w:val="00755EC4"/>
    <w:rsid w:val="007560A6"/>
    <w:rsid w:val="007560C5"/>
    <w:rsid w:val="00756477"/>
    <w:rsid w:val="007564BE"/>
    <w:rsid w:val="00756EC5"/>
    <w:rsid w:val="00757723"/>
    <w:rsid w:val="00760571"/>
    <w:rsid w:val="00760DEE"/>
    <w:rsid w:val="00761025"/>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4C76"/>
    <w:rsid w:val="007850E1"/>
    <w:rsid w:val="00785C0D"/>
    <w:rsid w:val="00785D37"/>
    <w:rsid w:val="00785DBA"/>
    <w:rsid w:val="00786132"/>
    <w:rsid w:val="007861A0"/>
    <w:rsid w:val="0078649C"/>
    <w:rsid w:val="007864B5"/>
    <w:rsid w:val="00787019"/>
    <w:rsid w:val="00787023"/>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5576"/>
    <w:rsid w:val="007A662E"/>
    <w:rsid w:val="007A6712"/>
    <w:rsid w:val="007A67AD"/>
    <w:rsid w:val="007A7290"/>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C07"/>
    <w:rsid w:val="007C1D5F"/>
    <w:rsid w:val="007C23A9"/>
    <w:rsid w:val="007C25E4"/>
    <w:rsid w:val="007C26FB"/>
    <w:rsid w:val="007C28AC"/>
    <w:rsid w:val="007C29C8"/>
    <w:rsid w:val="007C41F0"/>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0BC"/>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2B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90"/>
    <w:rsid w:val="008331BD"/>
    <w:rsid w:val="0083448E"/>
    <w:rsid w:val="00834F38"/>
    <w:rsid w:val="00835526"/>
    <w:rsid w:val="00835A5B"/>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747"/>
    <w:rsid w:val="00844BB0"/>
    <w:rsid w:val="00844F71"/>
    <w:rsid w:val="008450AC"/>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49DF"/>
    <w:rsid w:val="008956D5"/>
    <w:rsid w:val="0089616F"/>
    <w:rsid w:val="008A0E91"/>
    <w:rsid w:val="008A13AF"/>
    <w:rsid w:val="008A1706"/>
    <w:rsid w:val="008A1A50"/>
    <w:rsid w:val="008A1E7F"/>
    <w:rsid w:val="008A2735"/>
    <w:rsid w:val="008A34B7"/>
    <w:rsid w:val="008A3B7E"/>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3508"/>
    <w:rsid w:val="008C4CAC"/>
    <w:rsid w:val="008C53A2"/>
    <w:rsid w:val="008C5832"/>
    <w:rsid w:val="008C6437"/>
    <w:rsid w:val="008C6472"/>
    <w:rsid w:val="008C6BB6"/>
    <w:rsid w:val="008C7BFB"/>
    <w:rsid w:val="008C7DCB"/>
    <w:rsid w:val="008D1064"/>
    <w:rsid w:val="008D10B6"/>
    <w:rsid w:val="008D2CDD"/>
    <w:rsid w:val="008D33D5"/>
    <w:rsid w:val="008D3765"/>
    <w:rsid w:val="008D4F25"/>
    <w:rsid w:val="008D54C9"/>
    <w:rsid w:val="008D7250"/>
    <w:rsid w:val="008D7264"/>
    <w:rsid w:val="008D7DFD"/>
    <w:rsid w:val="008E0472"/>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8F77E8"/>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41E"/>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0D7C"/>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1F07"/>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4E72"/>
    <w:rsid w:val="009551C1"/>
    <w:rsid w:val="0095527C"/>
    <w:rsid w:val="00956602"/>
    <w:rsid w:val="0095675A"/>
    <w:rsid w:val="00957195"/>
    <w:rsid w:val="009578BA"/>
    <w:rsid w:val="00957A2C"/>
    <w:rsid w:val="009604A5"/>
    <w:rsid w:val="00960F80"/>
    <w:rsid w:val="009612C3"/>
    <w:rsid w:val="0096318D"/>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072"/>
    <w:rsid w:val="009841BF"/>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6"/>
    <w:rsid w:val="009E12C9"/>
    <w:rsid w:val="009E1FC4"/>
    <w:rsid w:val="009E298A"/>
    <w:rsid w:val="009E2BE4"/>
    <w:rsid w:val="009E2E69"/>
    <w:rsid w:val="009E3027"/>
    <w:rsid w:val="009E483F"/>
    <w:rsid w:val="009E4BB0"/>
    <w:rsid w:val="009E59AD"/>
    <w:rsid w:val="009E5A84"/>
    <w:rsid w:val="009F0256"/>
    <w:rsid w:val="009F0818"/>
    <w:rsid w:val="009F0DA2"/>
    <w:rsid w:val="009F0E5C"/>
    <w:rsid w:val="009F0F07"/>
    <w:rsid w:val="009F1785"/>
    <w:rsid w:val="009F1899"/>
    <w:rsid w:val="009F1CC9"/>
    <w:rsid w:val="009F2F03"/>
    <w:rsid w:val="009F3392"/>
    <w:rsid w:val="009F3AEB"/>
    <w:rsid w:val="009F42AC"/>
    <w:rsid w:val="009F520B"/>
    <w:rsid w:val="009F5F11"/>
    <w:rsid w:val="009F651E"/>
    <w:rsid w:val="009F692D"/>
    <w:rsid w:val="009F7C49"/>
    <w:rsid w:val="009F7DB8"/>
    <w:rsid w:val="009F7F65"/>
    <w:rsid w:val="00A00F52"/>
    <w:rsid w:val="00A013DF"/>
    <w:rsid w:val="00A01685"/>
    <w:rsid w:val="00A01714"/>
    <w:rsid w:val="00A01AAC"/>
    <w:rsid w:val="00A03DE2"/>
    <w:rsid w:val="00A04108"/>
    <w:rsid w:val="00A046C4"/>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765"/>
    <w:rsid w:val="00A15B5B"/>
    <w:rsid w:val="00A15CF1"/>
    <w:rsid w:val="00A171E5"/>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480"/>
    <w:rsid w:val="00A515FC"/>
    <w:rsid w:val="00A527C3"/>
    <w:rsid w:val="00A5351C"/>
    <w:rsid w:val="00A53711"/>
    <w:rsid w:val="00A542ED"/>
    <w:rsid w:val="00A54579"/>
    <w:rsid w:val="00A54C74"/>
    <w:rsid w:val="00A55389"/>
    <w:rsid w:val="00A55AF2"/>
    <w:rsid w:val="00A55F6F"/>
    <w:rsid w:val="00A560DC"/>
    <w:rsid w:val="00A56383"/>
    <w:rsid w:val="00A57371"/>
    <w:rsid w:val="00A60774"/>
    <w:rsid w:val="00A61297"/>
    <w:rsid w:val="00A617CE"/>
    <w:rsid w:val="00A62092"/>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67CE6"/>
    <w:rsid w:val="00A71548"/>
    <w:rsid w:val="00A71F58"/>
    <w:rsid w:val="00A72958"/>
    <w:rsid w:val="00A72C7C"/>
    <w:rsid w:val="00A72E86"/>
    <w:rsid w:val="00A73313"/>
    <w:rsid w:val="00A73450"/>
    <w:rsid w:val="00A73F00"/>
    <w:rsid w:val="00A743C8"/>
    <w:rsid w:val="00A75CBA"/>
    <w:rsid w:val="00A7677D"/>
    <w:rsid w:val="00A76D4B"/>
    <w:rsid w:val="00A811BC"/>
    <w:rsid w:val="00A8154D"/>
    <w:rsid w:val="00A82BCA"/>
    <w:rsid w:val="00A83EF7"/>
    <w:rsid w:val="00A84CE7"/>
    <w:rsid w:val="00A858D5"/>
    <w:rsid w:val="00A86525"/>
    <w:rsid w:val="00A8682D"/>
    <w:rsid w:val="00A86A6E"/>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3F"/>
    <w:rsid w:val="00A93E68"/>
    <w:rsid w:val="00A94305"/>
    <w:rsid w:val="00A943EE"/>
    <w:rsid w:val="00A9591B"/>
    <w:rsid w:val="00A95943"/>
    <w:rsid w:val="00A95A70"/>
    <w:rsid w:val="00A95B68"/>
    <w:rsid w:val="00A9656D"/>
    <w:rsid w:val="00AA001F"/>
    <w:rsid w:val="00AA0146"/>
    <w:rsid w:val="00AA0953"/>
    <w:rsid w:val="00AA1426"/>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2EFF"/>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4C6"/>
    <w:rsid w:val="00AE05BE"/>
    <w:rsid w:val="00AE1169"/>
    <w:rsid w:val="00AE1A2B"/>
    <w:rsid w:val="00AE22D9"/>
    <w:rsid w:val="00AE27D1"/>
    <w:rsid w:val="00AE2960"/>
    <w:rsid w:val="00AE2BF7"/>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20F"/>
    <w:rsid w:val="00AF5878"/>
    <w:rsid w:val="00AF5ABC"/>
    <w:rsid w:val="00AF6D45"/>
    <w:rsid w:val="00AF733D"/>
    <w:rsid w:val="00AF7F70"/>
    <w:rsid w:val="00B00105"/>
    <w:rsid w:val="00B0066D"/>
    <w:rsid w:val="00B01074"/>
    <w:rsid w:val="00B028ED"/>
    <w:rsid w:val="00B02F21"/>
    <w:rsid w:val="00B0390B"/>
    <w:rsid w:val="00B04931"/>
    <w:rsid w:val="00B0527A"/>
    <w:rsid w:val="00B05523"/>
    <w:rsid w:val="00B05C07"/>
    <w:rsid w:val="00B06269"/>
    <w:rsid w:val="00B06B62"/>
    <w:rsid w:val="00B0742E"/>
    <w:rsid w:val="00B075AD"/>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6F3"/>
    <w:rsid w:val="00B207B3"/>
    <w:rsid w:val="00B20988"/>
    <w:rsid w:val="00B209DC"/>
    <w:rsid w:val="00B2101B"/>
    <w:rsid w:val="00B21DAC"/>
    <w:rsid w:val="00B22305"/>
    <w:rsid w:val="00B2406B"/>
    <w:rsid w:val="00B265BE"/>
    <w:rsid w:val="00B26BD3"/>
    <w:rsid w:val="00B27417"/>
    <w:rsid w:val="00B27DAB"/>
    <w:rsid w:val="00B300BE"/>
    <w:rsid w:val="00B31924"/>
    <w:rsid w:val="00B31992"/>
    <w:rsid w:val="00B31A49"/>
    <w:rsid w:val="00B31BF8"/>
    <w:rsid w:val="00B31F0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0BE"/>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5E2A"/>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59"/>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2A9"/>
    <w:rsid w:val="00BC4371"/>
    <w:rsid w:val="00BC4AA4"/>
    <w:rsid w:val="00BC4B4E"/>
    <w:rsid w:val="00BC5E37"/>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C58"/>
    <w:rsid w:val="00C01DEA"/>
    <w:rsid w:val="00C02F07"/>
    <w:rsid w:val="00C0323C"/>
    <w:rsid w:val="00C033EE"/>
    <w:rsid w:val="00C0471D"/>
    <w:rsid w:val="00C048E3"/>
    <w:rsid w:val="00C05700"/>
    <w:rsid w:val="00C05AE8"/>
    <w:rsid w:val="00C05CF4"/>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554"/>
    <w:rsid w:val="00C3582C"/>
    <w:rsid w:val="00C35875"/>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01"/>
    <w:rsid w:val="00C552BC"/>
    <w:rsid w:val="00C55402"/>
    <w:rsid w:val="00C554BE"/>
    <w:rsid w:val="00C559A2"/>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A1D"/>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5D27"/>
    <w:rsid w:val="00CA71D5"/>
    <w:rsid w:val="00CA72A9"/>
    <w:rsid w:val="00CA7C3A"/>
    <w:rsid w:val="00CB0874"/>
    <w:rsid w:val="00CB08E3"/>
    <w:rsid w:val="00CB15A5"/>
    <w:rsid w:val="00CB1EF1"/>
    <w:rsid w:val="00CB1FF7"/>
    <w:rsid w:val="00CB2852"/>
    <w:rsid w:val="00CB29D2"/>
    <w:rsid w:val="00CB2C43"/>
    <w:rsid w:val="00CB2D9C"/>
    <w:rsid w:val="00CB3293"/>
    <w:rsid w:val="00CB3433"/>
    <w:rsid w:val="00CB371C"/>
    <w:rsid w:val="00CB3BB9"/>
    <w:rsid w:val="00CB3BCE"/>
    <w:rsid w:val="00CB4412"/>
    <w:rsid w:val="00CB47C9"/>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75E"/>
    <w:rsid w:val="00CC4C6A"/>
    <w:rsid w:val="00CC5452"/>
    <w:rsid w:val="00CC5E4C"/>
    <w:rsid w:val="00CC65C2"/>
    <w:rsid w:val="00CC6A6D"/>
    <w:rsid w:val="00CC7F5A"/>
    <w:rsid w:val="00CD105F"/>
    <w:rsid w:val="00CD1728"/>
    <w:rsid w:val="00CD2316"/>
    <w:rsid w:val="00CD39F7"/>
    <w:rsid w:val="00CD3CCE"/>
    <w:rsid w:val="00CD4021"/>
    <w:rsid w:val="00CD407B"/>
    <w:rsid w:val="00CD42FD"/>
    <w:rsid w:val="00CD44AD"/>
    <w:rsid w:val="00CD4B3C"/>
    <w:rsid w:val="00CD6AB1"/>
    <w:rsid w:val="00CD6C8A"/>
    <w:rsid w:val="00CD781F"/>
    <w:rsid w:val="00CD7CD2"/>
    <w:rsid w:val="00CE0D0C"/>
    <w:rsid w:val="00CE1477"/>
    <w:rsid w:val="00CE17A0"/>
    <w:rsid w:val="00CE180B"/>
    <w:rsid w:val="00CE1F1E"/>
    <w:rsid w:val="00CE286A"/>
    <w:rsid w:val="00CE28CC"/>
    <w:rsid w:val="00CE2967"/>
    <w:rsid w:val="00CE2B00"/>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EA1"/>
    <w:rsid w:val="00CF203E"/>
    <w:rsid w:val="00CF23C5"/>
    <w:rsid w:val="00CF303A"/>
    <w:rsid w:val="00CF312C"/>
    <w:rsid w:val="00CF3609"/>
    <w:rsid w:val="00CF480B"/>
    <w:rsid w:val="00CF4BCB"/>
    <w:rsid w:val="00CF4CA6"/>
    <w:rsid w:val="00CF52E3"/>
    <w:rsid w:val="00CF5758"/>
    <w:rsid w:val="00CF5DD5"/>
    <w:rsid w:val="00CF5E70"/>
    <w:rsid w:val="00CF601A"/>
    <w:rsid w:val="00CF6A75"/>
    <w:rsid w:val="00CF728E"/>
    <w:rsid w:val="00CF72FB"/>
    <w:rsid w:val="00CF7514"/>
    <w:rsid w:val="00CF7659"/>
    <w:rsid w:val="00D02950"/>
    <w:rsid w:val="00D02B74"/>
    <w:rsid w:val="00D02D48"/>
    <w:rsid w:val="00D03C3C"/>
    <w:rsid w:val="00D051D9"/>
    <w:rsid w:val="00D05429"/>
    <w:rsid w:val="00D0708E"/>
    <w:rsid w:val="00D07B93"/>
    <w:rsid w:val="00D07D1A"/>
    <w:rsid w:val="00D07F16"/>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0B0E"/>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18F"/>
    <w:rsid w:val="00D63388"/>
    <w:rsid w:val="00D63E5E"/>
    <w:rsid w:val="00D64164"/>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0F9"/>
    <w:rsid w:val="00D93340"/>
    <w:rsid w:val="00D9338D"/>
    <w:rsid w:val="00D94832"/>
    <w:rsid w:val="00D949E8"/>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5A80"/>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4388"/>
    <w:rsid w:val="00DB5668"/>
    <w:rsid w:val="00DB5DB3"/>
    <w:rsid w:val="00DB6024"/>
    <w:rsid w:val="00DB644D"/>
    <w:rsid w:val="00DB69B9"/>
    <w:rsid w:val="00DB6B0D"/>
    <w:rsid w:val="00DC154A"/>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F0A"/>
    <w:rsid w:val="00DD5158"/>
    <w:rsid w:val="00DD5891"/>
    <w:rsid w:val="00DD626F"/>
    <w:rsid w:val="00DD7D30"/>
    <w:rsid w:val="00DE0391"/>
    <w:rsid w:val="00DE0785"/>
    <w:rsid w:val="00DE1209"/>
    <w:rsid w:val="00DE20C4"/>
    <w:rsid w:val="00DE23CF"/>
    <w:rsid w:val="00DE34D5"/>
    <w:rsid w:val="00DE35F8"/>
    <w:rsid w:val="00DE3F94"/>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05D"/>
    <w:rsid w:val="00E0437B"/>
    <w:rsid w:val="00E04AD4"/>
    <w:rsid w:val="00E062DE"/>
    <w:rsid w:val="00E07001"/>
    <w:rsid w:val="00E07267"/>
    <w:rsid w:val="00E07ED2"/>
    <w:rsid w:val="00E102D4"/>
    <w:rsid w:val="00E10531"/>
    <w:rsid w:val="00E10F20"/>
    <w:rsid w:val="00E116CB"/>
    <w:rsid w:val="00E122A2"/>
    <w:rsid w:val="00E12724"/>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021E"/>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4F90"/>
    <w:rsid w:val="00E65C86"/>
    <w:rsid w:val="00E66693"/>
    <w:rsid w:val="00E66B3F"/>
    <w:rsid w:val="00E67C97"/>
    <w:rsid w:val="00E70EB7"/>
    <w:rsid w:val="00E70F8B"/>
    <w:rsid w:val="00E71510"/>
    <w:rsid w:val="00E71CE5"/>
    <w:rsid w:val="00E71FD1"/>
    <w:rsid w:val="00E72547"/>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4A20"/>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60F7"/>
    <w:rsid w:val="00EA7297"/>
    <w:rsid w:val="00EB1883"/>
    <w:rsid w:val="00EB1A6A"/>
    <w:rsid w:val="00EB2405"/>
    <w:rsid w:val="00EB2DC4"/>
    <w:rsid w:val="00EB4100"/>
    <w:rsid w:val="00EB4EA3"/>
    <w:rsid w:val="00EB4F6C"/>
    <w:rsid w:val="00EB5AE3"/>
    <w:rsid w:val="00EB6155"/>
    <w:rsid w:val="00EB651D"/>
    <w:rsid w:val="00EC017B"/>
    <w:rsid w:val="00EC0CA9"/>
    <w:rsid w:val="00EC106B"/>
    <w:rsid w:val="00EC1174"/>
    <w:rsid w:val="00EC1836"/>
    <w:rsid w:val="00EC1BE0"/>
    <w:rsid w:val="00EC21B4"/>
    <w:rsid w:val="00EC2AE4"/>
    <w:rsid w:val="00EC40C4"/>
    <w:rsid w:val="00EC48E4"/>
    <w:rsid w:val="00EC512A"/>
    <w:rsid w:val="00EC518F"/>
    <w:rsid w:val="00EC52DE"/>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625"/>
    <w:rsid w:val="00EE0845"/>
    <w:rsid w:val="00EE0AE6"/>
    <w:rsid w:val="00EE0D10"/>
    <w:rsid w:val="00EE136F"/>
    <w:rsid w:val="00EE14CC"/>
    <w:rsid w:val="00EE17B4"/>
    <w:rsid w:val="00EE2B70"/>
    <w:rsid w:val="00EE352B"/>
    <w:rsid w:val="00EE44FE"/>
    <w:rsid w:val="00EE4890"/>
    <w:rsid w:val="00EE4E25"/>
    <w:rsid w:val="00EE5AB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AD8"/>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516"/>
    <w:rsid w:val="00F63D91"/>
    <w:rsid w:val="00F648A7"/>
    <w:rsid w:val="00F649EB"/>
    <w:rsid w:val="00F64ABC"/>
    <w:rsid w:val="00F65563"/>
    <w:rsid w:val="00F65CE0"/>
    <w:rsid w:val="00F65F86"/>
    <w:rsid w:val="00F6636A"/>
    <w:rsid w:val="00F666DD"/>
    <w:rsid w:val="00F669A0"/>
    <w:rsid w:val="00F66CEC"/>
    <w:rsid w:val="00F66F9A"/>
    <w:rsid w:val="00F678DE"/>
    <w:rsid w:val="00F67B4F"/>
    <w:rsid w:val="00F67CCA"/>
    <w:rsid w:val="00F67F05"/>
    <w:rsid w:val="00F70030"/>
    <w:rsid w:val="00F703C6"/>
    <w:rsid w:val="00F709E6"/>
    <w:rsid w:val="00F70F27"/>
    <w:rsid w:val="00F71D2A"/>
    <w:rsid w:val="00F72672"/>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39A"/>
    <w:rsid w:val="00F825DA"/>
    <w:rsid w:val="00F835E3"/>
    <w:rsid w:val="00F83AB9"/>
    <w:rsid w:val="00F83C18"/>
    <w:rsid w:val="00F84462"/>
    <w:rsid w:val="00F84BD7"/>
    <w:rsid w:val="00F84D2C"/>
    <w:rsid w:val="00F8595B"/>
    <w:rsid w:val="00F85C1F"/>
    <w:rsid w:val="00F8607C"/>
    <w:rsid w:val="00F86FAE"/>
    <w:rsid w:val="00F8753C"/>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57C3"/>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C2C"/>
    <w:rsid w:val="00FC0EE2"/>
    <w:rsid w:val="00FC2E6E"/>
    <w:rsid w:val="00FC4247"/>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040F"/>
    <w:rsid w:val="00FE1080"/>
    <w:rsid w:val="00FE1DB3"/>
    <w:rsid w:val="00FE2054"/>
    <w:rsid w:val="00FE205E"/>
    <w:rsid w:val="00FE2737"/>
    <w:rsid w:val="00FE2763"/>
    <w:rsid w:val="00FE28E3"/>
    <w:rsid w:val="00FE2EBB"/>
    <w:rsid w:val="00FE2F94"/>
    <w:rsid w:val="00FE3A62"/>
    <w:rsid w:val="00FE3B28"/>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6B71AB7"/>
    <w:rsid w:val="07CA6958"/>
    <w:rsid w:val="082A3D01"/>
    <w:rsid w:val="08E92277"/>
    <w:rsid w:val="0A607237"/>
    <w:rsid w:val="0D9F6D9A"/>
    <w:rsid w:val="104B08CD"/>
    <w:rsid w:val="10AB4E8E"/>
    <w:rsid w:val="11A87272"/>
    <w:rsid w:val="11CE3BA6"/>
    <w:rsid w:val="11DC03DD"/>
    <w:rsid w:val="13A9324B"/>
    <w:rsid w:val="14786675"/>
    <w:rsid w:val="1679399C"/>
    <w:rsid w:val="17776C13"/>
    <w:rsid w:val="18147E65"/>
    <w:rsid w:val="188B6CD1"/>
    <w:rsid w:val="18BB1D6B"/>
    <w:rsid w:val="19B73753"/>
    <w:rsid w:val="1B0F09C5"/>
    <w:rsid w:val="1D093BCE"/>
    <w:rsid w:val="1D241147"/>
    <w:rsid w:val="1E840A89"/>
    <w:rsid w:val="1EDB4CAB"/>
    <w:rsid w:val="1F027E12"/>
    <w:rsid w:val="204F590B"/>
    <w:rsid w:val="24FD1758"/>
    <w:rsid w:val="270634FD"/>
    <w:rsid w:val="2955105F"/>
    <w:rsid w:val="2DE8189A"/>
    <w:rsid w:val="311B39AE"/>
    <w:rsid w:val="31C16047"/>
    <w:rsid w:val="337D1E31"/>
    <w:rsid w:val="34685DC6"/>
    <w:rsid w:val="3A266529"/>
    <w:rsid w:val="3AC40783"/>
    <w:rsid w:val="3B1706C7"/>
    <w:rsid w:val="3D701B81"/>
    <w:rsid w:val="3E381C66"/>
    <w:rsid w:val="3E3959C6"/>
    <w:rsid w:val="3E7F5899"/>
    <w:rsid w:val="404708C6"/>
    <w:rsid w:val="469C31A7"/>
    <w:rsid w:val="477E9229"/>
    <w:rsid w:val="4AB74634"/>
    <w:rsid w:val="4BE231D0"/>
    <w:rsid w:val="4D214AA2"/>
    <w:rsid w:val="4D246E34"/>
    <w:rsid w:val="4E9F19E2"/>
    <w:rsid w:val="51723BA9"/>
    <w:rsid w:val="543237BB"/>
    <w:rsid w:val="58971672"/>
    <w:rsid w:val="5B6F016A"/>
    <w:rsid w:val="5C6A0CA8"/>
    <w:rsid w:val="5F5C7EBA"/>
    <w:rsid w:val="617A6154"/>
    <w:rsid w:val="61E75E07"/>
    <w:rsid w:val="63341DFE"/>
    <w:rsid w:val="64091AC2"/>
    <w:rsid w:val="642F33C0"/>
    <w:rsid w:val="65A5734B"/>
    <w:rsid w:val="68483BD3"/>
    <w:rsid w:val="68691A98"/>
    <w:rsid w:val="69516AFC"/>
    <w:rsid w:val="6B7B4A3F"/>
    <w:rsid w:val="6BA574E8"/>
    <w:rsid w:val="6BB23491"/>
    <w:rsid w:val="6BBC599F"/>
    <w:rsid w:val="6C6C446C"/>
    <w:rsid w:val="6CDF2F38"/>
    <w:rsid w:val="6E0016D6"/>
    <w:rsid w:val="71442C76"/>
    <w:rsid w:val="71A249F0"/>
    <w:rsid w:val="76B82D18"/>
    <w:rsid w:val="779F0019"/>
    <w:rsid w:val="77E4014B"/>
    <w:rsid w:val="77EF6502"/>
    <w:rsid w:val="794F0808"/>
    <w:rsid w:val="79675452"/>
    <w:rsid w:val="79B62CE9"/>
    <w:rsid w:val="7C0C29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6387"/>
    <customShpInfo spid="_x0000_s16386"/>
    <customShpInfo spid="_x0000_s163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14</Pages>
  <Words>11671</Words>
  <Characters>14616</Characters>
  <Lines>119</Lines>
  <Paragraphs>33</Paragraphs>
  <TotalTime>0</TotalTime>
  <ScaleCrop>false</ScaleCrop>
  <LinksUpToDate>false</LinksUpToDate>
  <CharactersWithSpaces>14880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2018-10-19T15:37:00Z</dcterms:created>
  <dc:creator>微软中国</dc:creator>
  <cp:lastModifiedBy>Administrator</cp:lastModifiedBy>
  <cp:lastPrinted>2018-10-18T18:57:00Z</cp:lastPrinted>
  <dcterms:modified xsi:type="dcterms:W3CDTF">2022-05-26T03:13:06Z</dcterms:modified>
  <dc:title>温州市2012年1—3月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F903658F4B2C4CF397F3F967883AAD26</vt:lpwstr>
  </property>
</Properties>
</file>