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5"/>
        </w:tabs>
        <w:spacing w:line="560" w:lineRule="exact"/>
        <w:jc w:val="center"/>
        <w:rPr>
          <w:rFonts w:eastAsia="方正小标宋简体"/>
          <w:spacing w:val="-10"/>
          <w:kern w:val="0"/>
          <w:sz w:val="44"/>
          <w:szCs w:val="44"/>
        </w:rPr>
      </w:pPr>
      <w:r>
        <w:rPr>
          <w:rFonts w:eastAsia="方正小标宋简体"/>
          <w:spacing w:val="-10"/>
          <w:kern w:val="0"/>
          <w:sz w:val="44"/>
          <w:szCs w:val="44"/>
        </w:rPr>
        <w:t>2018年全市重点建设项目计划执行情况通报（</w:t>
      </w:r>
      <w:r>
        <w:rPr>
          <w:rFonts w:hint="eastAsia" w:eastAsia="方正小标宋简体"/>
          <w:spacing w:val="-10"/>
          <w:kern w:val="0"/>
          <w:sz w:val="44"/>
          <w:szCs w:val="44"/>
        </w:rPr>
        <w:t>七</w:t>
      </w:r>
      <w:r>
        <w:rPr>
          <w:rFonts w:eastAsia="方正小标宋简体"/>
          <w:spacing w:val="-10"/>
          <w:kern w:val="0"/>
          <w:sz w:val="44"/>
          <w:szCs w:val="44"/>
        </w:rPr>
        <w:t>）</w:t>
      </w:r>
    </w:p>
    <w:p>
      <w:pPr>
        <w:tabs>
          <w:tab w:val="left" w:pos="8445"/>
        </w:tabs>
        <w:spacing w:line="560" w:lineRule="exact"/>
        <w:jc w:val="center"/>
        <w:rPr>
          <w:rFonts w:eastAsia="方正小标宋简体"/>
          <w:kern w:val="0"/>
          <w:sz w:val="32"/>
          <w:szCs w:val="32"/>
        </w:rPr>
      </w:pPr>
      <w:r>
        <w:rPr>
          <w:rFonts w:eastAsia="楷体_GB2312"/>
          <w:kern w:val="0"/>
          <w:sz w:val="32"/>
          <w:szCs w:val="32"/>
        </w:rPr>
        <w:t>（1-</w:t>
      </w:r>
      <w:r>
        <w:rPr>
          <w:rFonts w:hint="eastAsia" w:eastAsia="楷体_GB2312"/>
          <w:kern w:val="0"/>
          <w:sz w:val="32"/>
          <w:szCs w:val="32"/>
        </w:rPr>
        <w:t>11</w:t>
      </w:r>
      <w:r>
        <w:rPr>
          <w:rFonts w:eastAsia="楷体_GB2312"/>
          <w:kern w:val="0"/>
          <w:sz w:val="32"/>
          <w:szCs w:val="32"/>
        </w:rPr>
        <w:t>月）</w:t>
      </w:r>
    </w:p>
    <w:p>
      <w:pPr>
        <w:tabs>
          <w:tab w:val="left" w:pos="8445"/>
        </w:tabs>
        <w:spacing w:line="560" w:lineRule="exact"/>
        <w:jc w:val="center"/>
        <w:rPr>
          <w:rFonts w:eastAsia="方正小标宋简体"/>
          <w:kern w:val="0"/>
          <w:sz w:val="44"/>
          <w:szCs w:val="44"/>
        </w:rPr>
      </w:pPr>
    </w:p>
    <w:p>
      <w:pPr>
        <w:spacing w:line="600" w:lineRule="exact"/>
        <w:ind w:firstLine="627" w:firstLineChars="196"/>
        <w:rPr>
          <w:rFonts w:eastAsia="黑体"/>
          <w:kern w:val="0"/>
          <w:sz w:val="32"/>
          <w:szCs w:val="32"/>
        </w:rPr>
      </w:pPr>
      <w:r>
        <w:rPr>
          <w:rFonts w:eastAsia="黑体"/>
          <w:kern w:val="0"/>
          <w:sz w:val="32"/>
          <w:szCs w:val="32"/>
        </w:rPr>
        <w:t>一、</w:t>
      </w:r>
      <w:r>
        <w:rPr>
          <w:rFonts w:hint="eastAsia" w:eastAsia="黑体"/>
          <w:kern w:val="0"/>
          <w:sz w:val="32"/>
          <w:szCs w:val="32"/>
        </w:rPr>
        <w:t>总体情况</w:t>
      </w:r>
    </w:p>
    <w:p>
      <w:pPr>
        <w:tabs>
          <w:tab w:val="left" w:pos="8445"/>
        </w:tabs>
        <w:spacing w:line="600" w:lineRule="exact"/>
        <w:ind w:firstLine="641"/>
        <w:rPr>
          <w:rFonts w:eastAsia="仿宋_GB2312"/>
          <w:kern w:val="0"/>
          <w:sz w:val="32"/>
          <w:szCs w:val="32"/>
        </w:rPr>
      </w:pPr>
      <w:r>
        <w:rPr>
          <w:rFonts w:eastAsia="仿宋_GB2312"/>
          <w:kern w:val="0"/>
          <w:sz w:val="32"/>
          <w:szCs w:val="32"/>
        </w:rPr>
        <w:t>201</w:t>
      </w:r>
      <w:r>
        <w:rPr>
          <w:rFonts w:hint="eastAsia" w:eastAsia="仿宋_GB2312"/>
          <w:kern w:val="0"/>
          <w:sz w:val="32"/>
          <w:szCs w:val="32"/>
        </w:rPr>
        <w:t>8</w:t>
      </w:r>
      <w:r>
        <w:rPr>
          <w:rFonts w:eastAsia="仿宋_GB2312"/>
          <w:kern w:val="0"/>
          <w:sz w:val="32"/>
          <w:szCs w:val="32"/>
        </w:rPr>
        <w:t>年，</w:t>
      </w:r>
      <w:r>
        <w:rPr>
          <w:rFonts w:hint="eastAsia" w:eastAsia="仿宋_GB2312"/>
          <w:kern w:val="0"/>
          <w:sz w:val="32"/>
          <w:szCs w:val="32"/>
        </w:rPr>
        <w:t>全市共安排</w:t>
      </w:r>
      <w:r>
        <w:rPr>
          <w:rFonts w:eastAsia="仿宋_GB2312"/>
          <w:kern w:val="0"/>
          <w:sz w:val="32"/>
          <w:szCs w:val="32"/>
        </w:rPr>
        <w:t>重点建设项目</w:t>
      </w:r>
      <w:r>
        <w:rPr>
          <w:rFonts w:hint="eastAsia" w:eastAsia="仿宋_GB2312"/>
          <w:kern w:val="0"/>
          <w:sz w:val="32"/>
          <w:szCs w:val="32"/>
        </w:rPr>
        <w:t>356个，</w:t>
      </w:r>
      <w:r>
        <w:rPr>
          <w:rFonts w:eastAsia="仿宋_GB2312"/>
          <w:kern w:val="0"/>
          <w:sz w:val="32"/>
          <w:szCs w:val="32"/>
        </w:rPr>
        <w:t>年度计划投资</w:t>
      </w:r>
      <w:r>
        <w:rPr>
          <w:rFonts w:hint="eastAsia" w:eastAsia="仿宋_GB2312"/>
          <w:kern w:val="0"/>
          <w:sz w:val="32"/>
          <w:szCs w:val="32"/>
        </w:rPr>
        <w:t>831.17</w:t>
      </w:r>
      <w:r>
        <w:rPr>
          <w:rFonts w:eastAsia="仿宋_GB2312"/>
          <w:kern w:val="0"/>
          <w:sz w:val="32"/>
          <w:szCs w:val="32"/>
        </w:rPr>
        <w:t>亿元</w:t>
      </w:r>
      <w:r>
        <w:rPr>
          <w:rFonts w:hint="eastAsia" w:eastAsia="仿宋_GB2312"/>
          <w:kern w:val="0"/>
          <w:sz w:val="32"/>
          <w:szCs w:val="32"/>
        </w:rPr>
        <w:t>。截至11月底，</w:t>
      </w:r>
      <w:r>
        <w:rPr>
          <w:rFonts w:eastAsia="仿宋_GB2312"/>
          <w:kern w:val="0"/>
          <w:sz w:val="32"/>
          <w:szCs w:val="32"/>
        </w:rPr>
        <w:t>已完成投资</w:t>
      </w:r>
      <w:r>
        <w:rPr>
          <w:rFonts w:hint="eastAsia" w:eastAsia="仿宋_GB2312"/>
          <w:kern w:val="0"/>
          <w:sz w:val="32"/>
          <w:szCs w:val="32"/>
        </w:rPr>
        <w:t>904.64</w:t>
      </w:r>
      <w:r>
        <w:rPr>
          <w:rFonts w:eastAsia="仿宋_GB2312"/>
          <w:kern w:val="0"/>
          <w:sz w:val="32"/>
          <w:szCs w:val="32"/>
        </w:rPr>
        <w:t>亿元，完成率</w:t>
      </w:r>
      <w:r>
        <w:rPr>
          <w:rFonts w:hint="eastAsia" w:eastAsia="仿宋_GB2312"/>
          <w:kern w:val="0"/>
          <w:sz w:val="32"/>
          <w:szCs w:val="32"/>
        </w:rPr>
        <w:t>为108.8</w:t>
      </w:r>
      <w:r>
        <w:rPr>
          <w:rFonts w:eastAsia="仿宋_GB2312"/>
          <w:kern w:val="0"/>
          <w:sz w:val="32"/>
          <w:szCs w:val="32"/>
        </w:rPr>
        <w:t>%，</w:t>
      </w:r>
      <w:r>
        <w:rPr>
          <w:rFonts w:hint="eastAsia" w:eastAsia="仿宋_GB2312"/>
          <w:kern w:val="0"/>
          <w:sz w:val="32"/>
          <w:szCs w:val="32"/>
        </w:rPr>
        <w:t>比上月提高10.8个百分点；计划开工74个</w:t>
      </w:r>
      <w:r>
        <w:rPr>
          <w:rFonts w:eastAsia="仿宋_GB2312"/>
          <w:kern w:val="0"/>
          <w:sz w:val="32"/>
          <w:szCs w:val="32"/>
        </w:rPr>
        <w:t>已开工</w:t>
      </w:r>
      <w:r>
        <w:rPr>
          <w:rFonts w:hint="eastAsia" w:eastAsia="仿宋_GB2312"/>
          <w:kern w:val="0"/>
          <w:sz w:val="32"/>
          <w:szCs w:val="32"/>
        </w:rPr>
        <w:t>68</w:t>
      </w:r>
      <w:r>
        <w:rPr>
          <w:rFonts w:eastAsia="仿宋_GB2312"/>
          <w:kern w:val="0"/>
          <w:sz w:val="32"/>
          <w:szCs w:val="32"/>
        </w:rPr>
        <w:t>个，开工率</w:t>
      </w:r>
      <w:r>
        <w:rPr>
          <w:rFonts w:hint="eastAsia" w:eastAsia="仿宋_GB2312"/>
          <w:kern w:val="0"/>
          <w:sz w:val="32"/>
          <w:szCs w:val="32"/>
        </w:rPr>
        <w:t>为91.9</w:t>
      </w:r>
      <w:r>
        <w:rPr>
          <w:rFonts w:eastAsia="仿宋_GB2312"/>
          <w:kern w:val="0"/>
          <w:sz w:val="32"/>
          <w:szCs w:val="32"/>
        </w:rPr>
        <w:t>%，</w:t>
      </w:r>
      <w:r>
        <w:rPr>
          <w:rFonts w:hint="eastAsia" w:eastAsia="仿宋_GB2312"/>
          <w:kern w:val="0"/>
          <w:sz w:val="32"/>
          <w:szCs w:val="32"/>
        </w:rPr>
        <w:t>比上月提高2.7个百分点。</w:t>
      </w:r>
    </w:p>
    <w:p>
      <w:pPr>
        <w:tabs>
          <w:tab w:val="left" w:pos="8445"/>
        </w:tabs>
        <w:spacing w:line="600" w:lineRule="exact"/>
        <w:ind w:firstLine="641"/>
        <w:rPr>
          <w:rFonts w:eastAsia="仿宋_GB2312"/>
          <w:kern w:val="0"/>
          <w:sz w:val="32"/>
          <w:szCs w:val="32"/>
        </w:rPr>
      </w:pPr>
      <w:r>
        <w:rPr>
          <w:rFonts w:hint="eastAsia" w:eastAsia="仿宋_GB2312"/>
          <w:kern w:val="0"/>
          <w:sz w:val="32"/>
          <w:szCs w:val="32"/>
        </w:rPr>
        <w:t>其中，①111个省重点建设项目已完成投资366.28亿元，完成率为104.8%。②78个市四套班子领导挂钩联系重大项目已完成投资397.40亿元，完成率为99.7%。③223个5亿元以上项目已完成投资794.60亿元，完成率为108.0%，比上月提高10.4个百分点。</w:t>
      </w:r>
      <w:r>
        <w:rPr>
          <w:rFonts w:eastAsia="仿宋_GB2312"/>
          <w:b/>
          <w:kern w:val="0"/>
          <w:sz w:val="32"/>
          <w:szCs w:val="32"/>
        </w:rPr>
        <w:t>70</w:t>
      </w:r>
      <w:r>
        <w:rPr>
          <w:rFonts w:hint="eastAsia" w:eastAsia="仿宋_GB2312"/>
          <w:b/>
          <w:kern w:val="0"/>
          <w:sz w:val="32"/>
          <w:szCs w:val="32"/>
        </w:rPr>
        <w:t>个5亿元以上重大产业项目已完成投资216.54亿元，完成率为121.3%，比上月提高8.6个百分点</w:t>
      </w:r>
      <w:r>
        <w:rPr>
          <w:rFonts w:hint="eastAsia" w:eastAsia="仿宋_GB2312"/>
          <w:kern w:val="0"/>
          <w:sz w:val="32"/>
          <w:szCs w:val="32"/>
        </w:rPr>
        <w:t>（</w:t>
      </w:r>
      <w:r>
        <w:rPr>
          <w:rFonts w:hint="eastAsia" w:eastAsia="仿宋_GB2312" w:cs="楷体_GB2312"/>
          <w:bCs/>
          <w:kern w:val="0"/>
          <w:sz w:val="32"/>
          <w:szCs w:val="32"/>
        </w:rPr>
        <w:t>其中，</w:t>
      </w:r>
      <w:r>
        <w:rPr>
          <w:rFonts w:eastAsia="仿宋_GB2312"/>
          <w:bCs/>
          <w:kern w:val="0"/>
          <w:sz w:val="32"/>
          <w:szCs w:val="32"/>
        </w:rPr>
        <w:t>5</w:t>
      </w:r>
      <w:r>
        <w:rPr>
          <w:rFonts w:hint="eastAsia" w:eastAsia="仿宋_GB2312" w:cs="楷体_GB2312"/>
          <w:bCs/>
          <w:kern w:val="0"/>
          <w:sz w:val="32"/>
          <w:szCs w:val="32"/>
        </w:rPr>
        <w:t>亿元以上工业项目完成投资</w:t>
      </w:r>
      <w:r>
        <w:rPr>
          <w:rFonts w:hint="eastAsia" w:eastAsia="仿宋_GB2312"/>
          <w:bCs/>
          <w:kern w:val="0"/>
          <w:sz w:val="32"/>
          <w:szCs w:val="32"/>
        </w:rPr>
        <w:t>82.99</w:t>
      </w:r>
      <w:r>
        <w:rPr>
          <w:rFonts w:hint="eastAsia" w:eastAsia="仿宋_GB2312" w:cs="楷体_GB2312"/>
          <w:bCs/>
          <w:kern w:val="0"/>
          <w:sz w:val="32"/>
          <w:szCs w:val="32"/>
        </w:rPr>
        <w:t>亿元，完成率为</w:t>
      </w:r>
      <w:r>
        <w:rPr>
          <w:rFonts w:hint="eastAsia" w:eastAsia="仿宋_GB2312"/>
          <w:bCs/>
          <w:kern w:val="0"/>
          <w:sz w:val="32"/>
          <w:szCs w:val="32"/>
        </w:rPr>
        <w:t>124.8</w:t>
      </w:r>
      <w:r>
        <w:rPr>
          <w:rFonts w:hint="eastAsia" w:eastAsia="仿宋_GB2312" w:cs="楷体_GB2312"/>
          <w:bCs/>
          <w:kern w:val="0"/>
          <w:sz w:val="32"/>
          <w:szCs w:val="32"/>
        </w:rPr>
        <w:t>%；</w:t>
      </w:r>
      <w:r>
        <w:rPr>
          <w:rFonts w:hint="eastAsia" w:eastAsia="仿宋_GB2312"/>
          <w:bCs/>
          <w:kern w:val="0"/>
          <w:sz w:val="32"/>
          <w:szCs w:val="32"/>
        </w:rPr>
        <w:t>5</w:t>
      </w:r>
      <w:r>
        <w:rPr>
          <w:rFonts w:hint="eastAsia" w:eastAsia="仿宋_GB2312" w:cs="楷体_GB2312"/>
          <w:bCs/>
          <w:kern w:val="0"/>
          <w:sz w:val="32"/>
          <w:szCs w:val="32"/>
        </w:rPr>
        <w:t>亿元以上服务业项目完成投资</w:t>
      </w:r>
      <w:r>
        <w:rPr>
          <w:rFonts w:hint="eastAsia" w:eastAsia="仿宋_GB2312"/>
          <w:bCs/>
          <w:kern w:val="0"/>
          <w:sz w:val="32"/>
          <w:szCs w:val="32"/>
        </w:rPr>
        <w:t>133.55</w:t>
      </w:r>
      <w:r>
        <w:rPr>
          <w:rFonts w:hint="eastAsia" w:eastAsia="仿宋_GB2312" w:cs="楷体_GB2312"/>
          <w:bCs/>
          <w:kern w:val="0"/>
          <w:sz w:val="32"/>
          <w:szCs w:val="32"/>
        </w:rPr>
        <w:t>亿元，完成率为</w:t>
      </w:r>
      <w:r>
        <w:rPr>
          <w:rFonts w:hint="eastAsia" w:eastAsia="仿宋_GB2312"/>
          <w:bCs/>
          <w:kern w:val="0"/>
          <w:sz w:val="32"/>
          <w:szCs w:val="32"/>
        </w:rPr>
        <w:t>119.2</w:t>
      </w:r>
      <w:r>
        <w:rPr>
          <w:rFonts w:hint="eastAsia" w:eastAsia="仿宋_GB2312" w:cs="楷体_GB2312"/>
          <w:bCs/>
          <w:kern w:val="0"/>
          <w:sz w:val="32"/>
          <w:szCs w:val="32"/>
        </w:rPr>
        <w:t>%</w:t>
      </w:r>
      <w:r>
        <w:rPr>
          <w:rFonts w:hint="eastAsia" w:eastAsia="仿宋_GB2312"/>
          <w:kern w:val="0"/>
          <w:sz w:val="32"/>
          <w:szCs w:val="32"/>
        </w:rPr>
        <w:t>）。</w:t>
      </w:r>
    </w:p>
    <w:p>
      <w:pPr>
        <w:spacing w:line="600" w:lineRule="exact"/>
        <w:ind w:firstLine="627" w:firstLineChars="196"/>
        <w:rPr>
          <w:rFonts w:eastAsia="黑体"/>
          <w:kern w:val="0"/>
          <w:sz w:val="32"/>
          <w:szCs w:val="32"/>
        </w:rPr>
      </w:pPr>
      <w:r>
        <w:rPr>
          <w:rFonts w:hint="eastAsia" w:eastAsia="黑体"/>
          <w:kern w:val="0"/>
          <w:sz w:val="32"/>
          <w:szCs w:val="32"/>
        </w:rPr>
        <w:t>二、县（市、区）、省级产业集聚区重点建设项目推进情况</w:t>
      </w:r>
    </w:p>
    <w:p>
      <w:pPr>
        <w:spacing w:line="600" w:lineRule="exact"/>
        <w:ind w:firstLine="627" w:firstLineChars="196"/>
        <w:rPr>
          <w:rFonts w:eastAsia="仿宋_GB2312"/>
          <w:color w:val="FF0000"/>
          <w:kern w:val="0"/>
          <w:sz w:val="32"/>
          <w:szCs w:val="32"/>
        </w:rPr>
      </w:pPr>
      <w:r>
        <w:rPr>
          <w:rFonts w:hint="eastAsia" w:eastAsia="仿宋_GB2312"/>
          <w:kern w:val="0"/>
          <w:sz w:val="32"/>
          <w:szCs w:val="32"/>
        </w:rPr>
        <w:t>县（市、区）、省级产业集聚区负责的</w:t>
      </w:r>
      <w:r>
        <w:rPr>
          <w:rFonts w:eastAsia="仿宋_GB2312"/>
          <w:kern w:val="0"/>
          <w:sz w:val="32"/>
          <w:szCs w:val="32"/>
        </w:rPr>
        <w:t>重点建设项目</w:t>
      </w:r>
      <w:r>
        <w:rPr>
          <w:rFonts w:hint="eastAsia" w:eastAsia="仿宋_GB2312"/>
          <w:kern w:val="0"/>
          <w:sz w:val="32"/>
          <w:szCs w:val="32"/>
        </w:rPr>
        <w:t>共297</w:t>
      </w:r>
      <w:r>
        <w:rPr>
          <w:rFonts w:eastAsia="仿宋_GB2312"/>
          <w:kern w:val="0"/>
          <w:sz w:val="32"/>
          <w:szCs w:val="32"/>
        </w:rPr>
        <w:t>个</w:t>
      </w:r>
      <w:r>
        <w:rPr>
          <w:rFonts w:hint="eastAsia" w:eastAsia="仿宋_GB2312"/>
          <w:kern w:val="0"/>
          <w:sz w:val="32"/>
          <w:szCs w:val="32"/>
        </w:rPr>
        <w:t>。截至11月底</w:t>
      </w:r>
      <w:r>
        <w:rPr>
          <w:rFonts w:eastAsia="仿宋_GB2312"/>
          <w:kern w:val="0"/>
          <w:sz w:val="32"/>
          <w:szCs w:val="32"/>
        </w:rPr>
        <w:t>，</w:t>
      </w:r>
      <w:r>
        <w:rPr>
          <w:rFonts w:hint="eastAsia" w:eastAsia="仿宋_GB2312"/>
          <w:kern w:val="0"/>
          <w:sz w:val="32"/>
          <w:szCs w:val="32"/>
        </w:rPr>
        <w:t>已完成投资595.60亿元，完成率为122.3%，各地区均已超额完成年度投资任务。</w:t>
      </w:r>
    </w:p>
    <w:p>
      <w:pPr>
        <w:spacing w:line="600" w:lineRule="exact"/>
        <w:ind w:firstLine="627" w:firstLineChars="196"/>
        <w:rPr>
          <w:rFonts w:eastAsia="黑体"/>
          <w:kern w:val="0"/>
          <w:sz w:val="32"/>
          <w:szCs w:val="32"/>
        </w:rPr>
      </w:pPr>
      <w:r>
        <w:rPr>
          <w:rFonts w:hint="eastAsia" w:eastAsia="黑体"/>
          <w:kern w:val="0"/>
          <w:sz w:val="32"/>
          <w:szCs w:val="32"/>
        </w:rPr>
        <w:t>三、市直单位重点建设项目推进情况</w:t>
      </w:r>
    </w:p>
    <w:p>
      <w:pPr>
        <w:spacing w:line="600" w:lineRule="exact"/>
        <w:ind w:firstLine="627" w:firstLineChars="196"/>
        <w:rPr>
          <w:rFonts w:eastAsia="仿宋_GB2312"/>
          <w:kern w:val="0"/>
          <w:sz w:val="32"/>
          <w:szCs w:val="32"/>
        </w:rPr>
      </w:pPr>
      <w:r>
        <w:rPr>
          <w:rFonts w:hint="eastAsia" w:eastAsia="仿宋_GB2312"/>
          <w:kern w:val="0"/>
          <w:sz w:val="32"/>
          <w:szCs w:val="32"/>
        </w:rPr>
        <w:t>市直单位负责的</w:t>
      </w:r>
      <w:r>
        <w:rPr>
          <w:rFonts w:eastAsia="仿宋_GB2312"/>
          <w:kern w:val="0"/>
          <w:sz w:val="32"/>
          <w:szCs w:val="32"/>
        </w:rPr>
        <w:t>重点建设项目</w:t>
      </w:r>
      <w:r>
        <w:rPr>
          <w:rFonts w:hint="eastAsia" w:eastAsia="仿宋_GB2312"/>
          <w:kern w:val="0"/>
          <w:sz w:val="32"/>
          <w:szCs w:val="32"/>
        </w:rPr>
        <w:t>共59个。截至11月底，已完成投资309.04亿元，完成率为89.8%。其中，</w:t>
      </w:r>
      <w:r>
        <w:rPr>
          <w:rFonts w:hint="eastAsia" w:eastAsia="仿宋_GB2312"/>
          <w:b/>
          <w:kern w:val="0"/>
          <w:sz w:val="32"/>
          <w:szCs w:val="32"/>
        </w:rPr>
        <w:t>完成投资量较大的</w:t>
      </w:r>
      <w:r>
        <w:rPr>
          <w:rFonts w:hint="eastAsia" w:eastAsia="仿宋_GB2312"/>
          <w:kern w:val="0"/>
          <w:sz w:val="32"/>
          <w:szCs w:val="32"/>
        </w:rPr>
        <w:t>有市交投集团、市铁投集团、龙丽温高速公路指挥部；</w:t>
      </w:r>
      <w:r>
        <w:rPr>
          <w:rFonts w:hint="eastAsia" w:eastAsia="仿宋_GB2312"/>
          <w:b/>
          <w:kern w:val="0"/>
          <w:sz w:val="32"/>
          <w:szCs w:val="32"/>
        </w:rPr>
        <w:t>完成进展较快的</w:t>
      </w:r>
      <w:r>
        <w:rPr>
          <w:rFonts w:hint="eastAsia" w:eastAsia="仿宋_GB2312"/>
          <w:kern w:val="0"/>
          <w:sz w:val="32"/>
          <w:szCs w:val="32"/>
        </w:rPr>
        <w:t>有市名城集团、市公用集团、市城投集团；</w:t>
      </w:r>
      <w:r>
        <w:rPr>
          <w:rFonts w:hint="eastAsia" w:eastAsia="仿宋_GB2312"/>
          <w:b/>
          <w:kern w:val="0"/>
          <w:sz w:val="32"/>
          <w:szCs w:val="32"/>
        </w:rPr>
        <w:t>完成进度较慢的</w:t>
      </w:r>
      <w:r>
        <w:rPr>
          <w:rFonts w:hint="eastAsia" w:eastAsia="仿宋_GB2312"/>
          <w:kern w:val="0"/>
          <w:sz w:val="32"/>
          <w:szCs w:val="32"/>
        </w:rPr>
        <w:t>有市公安局、龙丽温高速公路指挥部、市铁投集团，完成率分别为74.3%、74.5%、81.2%。</w:t>
      </w:r>
    </w:p>
    <w:p>
      <w:pPr>
        <w:spacing w:line="600" w:lineRule="exact"/>
        <w:ind w:firstLine="627" w:firstLineChars="196"/>
        <w:rPr>
          <w:rFonts w:eastAsia="黑体"/>
          <w:kern w:val="0"/>
          <w:sz w:val="32"/>
          <w:szCs w:val="32"/>
        </w:rPr>
      </w:pPr>
      <w:r>
        <w:rPr>
          <w:rFonts w:hint="eastAsia" w:eastAsia="黑体"/>
          <w:kern w:val="0"/>
          <w:sz w:val="32"/>
          <w:szCs w:val="32"/>
        </w:rPr>
        <w:t>四、全市重点建设进展滞后项目情况</w:t>
      </w:r>
    </w:p>
    <w:p>
      <w:pPr>
        <w:spacing w:line="600" w:lineRule="exact"/>
        <w:ind w:firstLine="627" w:firstLineChars="196"/>
        <w:rPr>
          <w:rFonts w:eastAsia="仿宋_GB2312" w:cs="仿宋_GB2312"/>
          <w:kern w:val="0"/>
          <w:sz w:val="32"/>
          <w:szCs w:val="32"/>
        </w:rPr>
      </w:pPr>
      <w:r>
        <w:rPr>
          <w:rFonts w:hint="eastAsia" w:eastAsia="仿宋_GB2312"/>
          <w:kern w:val="0"/>
          <w:sz w:val="32"/>
          <w:szCs w:val="32"/>
        </w:rPr>
        <w:t>截至11月底，全市重点建设项目投资完成率低于70%的项目还有27个（11月新开工项目除外）。其中，</w:t>
      </w:r>
      <w:r>
        <w:rPr>
          <w:rFonts w:hint="eastAsia" w:eastAsia="仿宋_GB2312" w:cs="仿宋_GB2312"/>
          <w:kern w:val="0"/>
          <w:sz w:val="32"/>
          <w:szCs w:val="32"/>
        </w:rPr>
        <w:t>有5</w:t>
      </w:r>
      <w:r>
        <w:rPr>
          <w:rFonts w:hint="eastAsia" w:eastAsia="仿宋_GB2312"/>
          <w:kern w:val="0"/>
          <w:sz w:val="32"/>
          <w:szCs w:val="32"/>
        </w:rPr>
        <w:t>个项目应开工未开工，分别是</w:t>
      </w:r>
      <w:r>
        <w:rPr>
          <w:rFonts w:hint="eastAsia" w:eastAsia="仿宋_GB2312" w:cs="仿宋_GB2312"/>
          <w:kern w:val="0"/>
          <w:sz w:val="32"/>
          <w:szCs w:val="32"/>
        </w:rPr>
        <w:t>228国道至323省道连接线工程（</w:t>
      </w:r>
      <w:r>
        <w:rPr>
          <w:rFonts w:hint="eastAsia" w:eastAsia="楷体_GB2312" w:cs="仿宋_GB2312"/>
          <w:kern w:val="0"/>
          <w:sz w:val="32"/>
          <w:szCs w:val="32"/>
        </w:rPr>
        <w:t>乐清市</w:t>
      </w:r>
      <w:r>
        <w:rPr>
          <w:rFonts w:hint="eastAsia" w:eastAsia="仿宋_GB2312" w:cs="仿宋_GB2312"/>
          <w:kern w:val="0"/>
          <w:sz w:val="32"/>
          <w:szCs w:val="32"/>
        </w:rPr>
        <w:t>）、228国道苍南龙沙至岱岭段（</w:t>
      </w:r>
      <w:r>
        <w:rPr>
          <w:rFonts w:hint="eastAsia" w:eastAsia="楷体_GB2312" w:cs="仿宋_GB2312"/>
          <w:kern w:val="0"/>
          <w:sz w:val="32"/>
          <w:szCs w:val="32"/>
        </w:rPr>
        <w:t>苍南县</w:t>
      </w:r>
      <w:r>
        <w:rPr>
          <w:rFonts w:hint="eastAsia" w:eastAsia="仿宋_GB2312" w:cs="仿宋_GB2312"/>
          <w:kern w:val="0"/>
          <w:sz w:val="32"/>
          <w:szCs w:val="32"/>
        </w:rPr>
        <w:t>）、沈海高速复线瓯江口产业集聚区连接线工程（</w:t>
      </w:r>
      <w:r>
        <w:rPr>
          <w:rFonts w:hint="eastAsia" w:eastAsia="楷体_GB2312" w:cs="仿宋_GB2312"/>
          <w:kern w:val="0"/>
          <w:sz w:val="32"/>
          <w:szCs w:val="32"/>
        </w:rPr>
        <w:t>瓯江口，市政类项目</w:t>
      </w:r>
      <w:r>
        <w:rPr>
          <w:rFonts w:hint="eastAsia" w:eastAsia="仿宋_GB2312" w:cs="仿宋_GB2312"/>
          <w:kern w:val="0"/>
          <w:sz w:val="32"/>
          <w:szCs w:val="32"/>
        </w:rPr>
        <w:t>）、228国道洞头灵昆段工程（</w:t>
      </w:r>
      <w:r>
        <w:rPr>
          <w:rFonts w:hint="eastAsia" w:eastAsia="楷体_GB2312" w:cs="仿宋_GB2312"/>
          <w:kern w:val="0"/>
          <w:sz w:val="32"/>
          <w:szCs w:val="32"/>
        </w:rPr>
        <w:t>瓯江口</w:t>
      </w:r>
      <w:r>
        <w:rPr>
          <w:rFonts w:hint="eastAsia" w:eastAsia="仿宋_GB2312" w:cs="仿宋_GB2312"/>
          <w:kern w:val="0"/>
          <w:sz w:val="32"/>
          <w:szCs w:val="32"/>
        </w:rPr>
        <w:t>）、溧阳至宁德高速公路（</w:t>
      </w:r>
      <w:r>
        <w:rPr>
          <w:rFonts w:eastAsia="仿宋_GB2312" w:cs="仿宋_GB2312"/>
          <w:kern w:val="0"/>
          <w:sz w:val="32"/>
          <w:szCs w:val="32"/>
        </w:rPr>
        <w:t>G4012</w:t>
      </w:r>
      <w:r>
        <w:rPr>
          <w:rFonts w:hint="eastAsia" w:eastAsia="仿宋_GB2312" w:cs="仿宋_GB2312"/>
          <w:kern w:val="0"/>
          <w:sz w:val="32"/>
          <w:szCs w:val="32"/>
        </w:rPr>
        <w:t>）浙江景宁至文成段（文成段）（</w:t>
      </w:r>
      <w:r>
        <w:rPr>
          <w:rFonts w:hint="eastAsia" w:eastAsia="楷体_GB2312" w:cs="仿宋_GB2312"/>
          <w:kern w:val="0"/>
          <w:sz w:val="32"/>
          <w:szCs w:val="32"/>
        </w:rPr>
        <w:t>龙丽温高速公路指挥部</w:t>
      </w:r>
      <w:r>
        <w:rPr>
          <w:rFonts w:hint="eastAsia" w:eastAsia="仿宋_GB2312" w:cs="仿宋_GB2312"/>
          <w:kern w:val="0"/>
          <w:sz w:val="32"/>
          <w:szCs w:val="32"/>
        </w:rPr>
        <w:t>）。</w:t>
      </w:r>
    </w:p>
    <w:p>
      <w:pPr>
        <w:spacing w:line="600" w:lineRule="exact"/>
        <w:ind w:firstLine="627" w:firstLineChars="196"/>
        <w:rPr>
          <w:rFonts w:eastAsia="仿宋_GB2312"/>
          <w:kern w:val="0"/>
          <w:sz w:val="32"/>
          <w:szCs w:val="32"/>
        </w:rPr>
      </w:pPr>
    </w:p>
    <w:p>
      <w:pPr>
        <w:spacing w:line="560" w:lineRule="exact"/>
        <w:ind w:firstLine="627" w:firstLineChars="196"/>
        <w:rPr>
          <w:rFonts w:eastAsia="仿宋_GB2312"/>
          <w:kern w:val="0"/>
          <w:sz w:val="32"/>
          <w:szCs w:val="32"/>
        </w:rPr>
      </w:pPr>
      <w:r>
        <w:rPr>
          <w:rFonts w:eastAsia="仿宋_GB2312"/>
          <w:kern w:val="0"/>
          <w:sz w:val="32"/>
          <w:szCs w:val="32"/>
        </w:rPr>
        <w:t>附件：1</w:t>
      </w:r>
      <w:r>
        <w:rPr>
          <w:rFonts w:hint="eastAsia" w:eastAsia="仿宋_GB2312"/>
          <w:kern w:val="0"/>
          <w:sz w:val="32"/>
          <w:szCs w:val="32"/>
        </w:rPr>
        <w:t>.</w:t>
      </w:r>
      <w:r>
        <w:rPr>
          <w:rFonts w:eastAsia="仿宋_GB2312"/>
          <w:kern w:val="0"/>
          <w:sz w:val="32"/>
          <w:szCs w:val="32"/>
        </w:rPr>
        <w:t>2018年市重点建设项目分行业完成情况表</w:t>
      </w:r>
    </w:p>
    <w:p>
      <w:pPr>
        <w:spacing w:line="560" w:lineRule="exact"/>
        <w:ind w:left="973" w:firstLine="627" w:firstLineChars="196"/>
        <w:rPr>
          <w:rFonts w:eastAsia="仿宋_GB2312"/>
          <w:kern w:val="0"/>
          <w:sz w:val="32"/>
          <w:szCs w:val="32"/>
        </w:rPr>
      </w:pPr>
      <w:r>
        <w:rPr>
          <w:rFonts w:eastAsia="仿宋_GB2312"/>
          <w:kern w:val="0"/>
          <w:sz w:val="32"/>
          <w:szCs w:val="32"/>
        </w:rPr>
        <w:t>2.2018年市重点建设项目分区域完成情况表</w:t>
      </w:r>
    </w:p>
    <w:p>
      <w:pPr>
        <w:spacing w:line="560" w:lineRule="exact"/>
        <w:ind w:left="973" w:firstLine="627" w:firstLineChars="196"/>
        <w:rPr>
          <w:rFonts w:eastAsia="仿宋_GB2312"/>
          <w:kern w:val="0"/>
          <w:sz w:val="32"/>
          <w:szCs w:val="32"/>
          <w:u w:val="single"/>
        </w:rPr>
      </w:pPr>
      <w:r>
        <w:rPr>
          <w:rFonts w:hint="eastAsia" w:eastAsia="仿宋_GB2312"/>
          <w:kern w:val="0"/>
          <w:sz w:val="32"/>
          <w:szCs w:val="32"/>
        </w:rPr>
        <w:t>3.2018年5亿元以上重大项目分区域完成情况表</w:t>
      </w:r>
    </w:p>
    <w:p>
      <w:pPr>
        <w:spacing w:line="560" w:lineRule="exact"/>
        <w:ind w:firstLine="1600" w:firstLineChars="500"/>
        <w:rPr>
          <w:rFonts w:eastAsia="仿宋_GB2312"/>
          <w:kern w:val="0"/>
          <w:sz w:val="32"/>
          <w:szCs w:val="32"/>
        </w:rPr>
      </w:pPr>
      <w:r>
        <w:rPr>
          <w:rFonts w:hint="eastAsia" w:eastAsia="仿宋_GB2312"/>
          <w:kern w:val="0"/>
          <w:sz w:val="32"/>
          <w:szCs w:val="32"/>
        </w:rPr>
        <w:t>4</w:t>
      </w:r>
      <w:r>
        <w:rPr>
          <w:rFonts w:eastAsia="仿宋_GB2312"/>
          <w:kern w:val="0"/>
          <w:sz w:val="32"/>
          <w:szCs w:val="32"/>
        </w:rPr>
        <w:t>.2018年市重点建设项目市直单位完成情况表</w:t>
      </w:r>
    </w:p>
    <w:p>
      <w:pPr>
        <w:spacing w:line="560" w:lineRule="exact"/>
        <w:ind w:firstLine="1600" w:firstLineChars="500"/>
        <w:rPr>
          <w:rFonts w:eastAsia="仿宋_GB2312"/>
          <w:kern w:val="0"/>
          <w:sz w:val="32"/>
          <w:szCs w:val="32"/>
        </w:rPr>
      </w:pPr>
      <w:r>
        <w:rPr>
          <w:rFonts w:hint="eastAsia" w:eastAsia="仿宋_GB2312"/>
          <w:kern w:val="0"/>
          <w:sz w:val="32"/>
          <w:szCs w:val="32"/>
        </w:rPr>
        <w:t>5</w:t>
      </w:r>
      <w:r>
        <w:rPr>
          <w:rFonts w:eastAsia="仿宋_GB2312"/>
          <w:kern w:val="0"/>
          <w:sz w:val="32"/>
          <w:szCs w:val="32"/>
        </w:rPr>
        <w:t>.2018年市重点建设项目开工完成情况表</w:t>
      </w:r>
    </w:p>
    <w:p>
      <w:pPr>
        <w:spacing w:line="560" w:lineRule="exact"/>
        <w:ind w:firstLine="1600" w:firstLineChars="500"/>
        <w:rPr>
          <w:rFonts w:eastAsia="仿宋_GB2312"/>
          <w:kern w:val="0"/>
          <w:sz w:val="32"/>
          <w:szCs w:val="32"/>
        </w:rPr>
      </w:pPr>
      <w:r>
        <w:rPr>
          <w:rFonts w:hint="eastAsia" w:eastAsia="仿宋_GB2312"/>
          <w:kern w:val="0"/>
          <w:sz w:val="32"/>
          <w:szCs w:val="32"/>
        </w:rPr>
        <w:t>6.市四套班子领导挂钩联系重大项目完成情况表</w:t>
      </w:r>
    </w:p>
    <w:p>
      <w:pPr>
        <w:spacing w:line="560" w:lineRule="exact"/>
        <w:ind w:firstLine="1600" w:firstLineChars="500"/>
        <w:rPr>
          <w:rFonts w:eastAsia="仿宋_GB2312"/>
          <w:kern w:val="0"/>
          <w:sz w:val="32"/>
          <w:szCs w:val="32"/>
        </w:rPr>
      </w:pPr>
      <w:r>
        <w:rPr>
          <w:rFonts w:hint="eastAsia" w:eastAsia="仿宋_GB2312"/>
          <w:kern w:val="0"/>
          <w:sz w:val="32"/>
          <w:szCs w:val="32"/>
        </w:rPr>
        <w:t>7.2018年市重点建设进展滞后项目情况表</w:t>
      </w:r>
    </w:p>
    <w:p>
      <w:pPr>
        <w:spacing w:line="56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hint="eastAsia"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00" w:lineRule="exact"/>
        <w:ind w:firstLine="1600" w:firstLineChars="500"/>
        <w:rPr>
          <w:rFonts w:eastAsia="仿宋_GB2312"/>
          <w:kern w:val="0"/>
          <w:sz w:val="32"/>
          <w:szCs w:val="32"/>
        </w:rPr>
      </w:pPr>
    </w:p>
    <w:p>
      <w:pPr>
        <w:spacing w:line="520" w:lineRule="exact"/>
        <w:ind w:left="1582"/>
        <w:rPr>
          <w:rFonts w:eastAsia="仿宋_GB2312" w:cs="仿宋_GB2312"/>
          <w:kern w:val="0"/>
          <w:sz w:val="28"/>
          <w:szCs w:val="28"/>
        </w:rPr>
        <w:sectPr>
          <w:footerReference r:id="rId3" w:type="default"/>
          <w:pgSz w:w="11906" w:h="16838"/>
          <w:pgMar w:top="2098" w:right="1474" w:bottom="1985" w:left="1588" w:header="851" w:footer="992" w:gutter="0"/>
          <w:pgNumType w:fmt="numberInDash"/>
          <w:cols w:space="0" w:num="1"/>
          <w:docGrid w:type="lines" w:linePitch="312" w:charSpace="0"/>
        </w:sectPr>
      </w:pPr>
    </w:p>
    <w:p>
      <w:pPr>
        <w:tabs>
          <w:tab w:val="left" w:pos="8640"/>
        </w:tabs>
        <w:spacing w:line="560" w:lineRule="exact"/>
        <w:rPr>
          <w:rFonts w:eastAsia="黑体"/>
          <w:kern w:val="0"/>
          <w:sz w:val="32"/>
          <w:szCs w:val="32"/>
        </w:rPr>
      </w:pPr>
      <w:r>
        <w:rPr>
          <w:rFonts w:hint="eastAsia" w:eastAsia="黑体"/>
          <w:kern w:val="0"/>
          <w:sz w:val="32"/>
          <w:szCs w:val="32"/>
        </w:rPr>
        <w:t>附件1</w:t>
      </w:r>
    </w:p>
    <w:p>
      <w:pPr>
        <w:tabs>
          <w:tab w:val="left" w:pos="8640"/>
        </w:tabs>
        <w:spacing w:line="600" w:lineRule="exact"/>
        <w:jc w:val="center"/>
        <w:rPr>
          <w:rFonts w:eastAsia="方正小标宋简体"/>
          <w:kern w:val="0"/>
          <w:sz w:val="36"/>
          <w:szCs w:val="36"/>
        </w:rPr>
      </w:pPr>
      <w:r>
        <w:rPr>
          <w:rFonts w:hint="eastAsia" w:eastAsia="方正小标宋简体"/>
          <w:kern w:val="0"/>
          <w:sz w:val="36"/>
          <w:szCs w:val="36"/>
        </w:rPr>
        <w:t>2018年市重点建设项目分行业完成情况表</w:t>
      </w:r>
      <w:r>
        <w:rPr>
          <w:rFonts w:hint="eastAsia" w:eastAsia="楷体_GB2312"/>
          <w:kern w:val="0"/>
          <w:sz w:val="32"/>
          <w:szCs w:val="32"/>
        </w:rPr>
        <w:t>（1-11月）</w:t>
      </w:r>
    </w:p>
    <w:p>
      <w:pPr>
        <w:tabs>
          <w:tab w:val="left" w:pos="8640"/>
        </w:tabs>
        <w:spacing w:line="500" w:lineRule="exact"/>
        <w:ind w:right="480"/>
        <w:jc w:val="right"/>
        <w:rPr>
          <w:rFonts w:eastAsia="楷体_GB2312"/>
          <w:kern w:val="0"/>
          <w:sz w:val="24"/>
        </w:rPr>
      </w:pPr>
      <w:r>
        <w:rPr>
          <w:rFonts w:hint="eastAsia" w:eastAsia="楷体_GB2312"/>
          <w:kern w:val="0"/>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kern w:val="0"/>
                <w:sz w:val="24"/>
              </w:rPr>
            </w:pPr>
            <w:r>
              <w:rPr>
                <w:rFonts w:eastAsia="黑体"/>
                <w:kern w:val="0"/>
                <w:sz w:val="24"/>
              </w:rPr>
              <w:t>序号</w:t>
            </w:r>
          </w:p>
        </w:tc>
        <w:tc>
          <w:tcPr>
            <w:tcW w:w="1701" w:type="dxa"/>
            <w:vMerge w:val="restart"/>
            <w:vAlign w:val="center"/>
          </w:tcPr>
          <w:p>
            <w:pPr>
              <w:tabs>
                <w:tab w:val="left" w:pos="8640"/>
              </w:tabs>
              <w:jc w:val="center"/>
              <w:rPr>
                <w:rFonts w:eastAsia="黑体"/>
                <w:kern w:val="0"/>
                <w:sz w:val="24"/>
              </w:rPr>
            </w:pPr>
            <w:r>
              <w:rPr>
                <w:rFonts w:eastAsia="黑体"/>
                <w:kern w:val="0"/>
                <w:sz w:val="24"/>
              </w:rPr>
              <w:t>分类</w:t>
            </w:r>
          </w:p>
        </w:tc>
        <w:tc>
          <w:tcPr>
            <w:tcW w:w="851" w:type="dxa"/>
            <w:vMerge w:val="restart"/>
            <w:vAlign w:val="center"/>
          </w:tcPr>
          <w:p>
            <w:pPr>
              <w:tabs>
                <w:tab w:val="left" w:pos="8640"/>
              </w:tabs>
              <w:jc w:val="center"/>
              <w:rPr>
                <w:rFonts w:eastAsia="黑体"/>
                <w:kern w:val="0"/>
                <w:sz w:val="24"/>
              </w:rPr>
            </w:pPr>
            <w:r>
              <w:rPr>
                <w:rFonts w:eastAsia="黑体"/>
                <w:kern w:val="0"/>
                <w:sz w:val="24"/>
              </w:rPr>
              <w:t>项目</w:t>
            </w:r>
          </w:p>
          <w:p>
            <w:pPr>
              <w:tabs>
                <w:tab w:val="left" w:pos="8640"/>
              </w:tabs>
              <w:jc w:val="center"/>
              <w:rPr>
                <w:rFonts w:eastAsia="黑体"/>
                <w:kern w:val="0"/>
                <w:sz w:val="24"/>
              </w:rPr>
            </w:pPr>
            <w:r>
              <w:rPr>
                <w:rFonts w:eastAsia="黑体"/>
                <w:kern w:val="0"/>
                <w:sz w:val="24"/>
              </w:rPr>
              <w:t>个数</w:t>
            </w:r>
          </w:p>
        </w:tc>
        <w:tc>
          <w:tcPr>
            <w:tcW w:w="1134" w:type="dxa"/>
            <w:vMerge w:val="restart"/>
            <w:vAlign w:val="center"/>
          </w:tcPr>
          <w:p>
            <w:pPr>
              <w:tabs>
                <w:tab w:val="left" w:pos="8640"/>
              </w:tabs>
              <w:jc w:val="center"/>
              <w:rPr>
                <w:rFonts w:eastAsia="黑体"/>
                <w:kern w:val="0"/>
                <w:sz w:val="24"/>
              </w:rPr>
            </w:pPr>
            <w:r>
              <w:rPr>
                <w:rFonts w:eastAsia="黑体"/>
                <w:kern w:val="0"/>
                <w:sz w:val="24"/>
              </w:rPr>
              <w:t>年度计</w:t>
            </w:r>
          </w:p>
          <w:p>
            <w:pPr>
              <w:tabs>
                <w:tab w:val="left" w:pos="8640"/>
              </w:tabs>
              <w:jc w:val="center"/>
              <w:rPr>
                <w:rFonts w:eastAsia="黑体"/>
                <w:kern w:val="0"/>
                <w:sz w:val="24"/>
              </w:rPr>
            </w:pPr>
            <w:r>
              <w:rPr>
                <w:rFonts w:eastAsia="黑体"/>
                <w:kern w:val="0"/>
                <w:sz w:val="24"/>
              </w:rPr>
              <w:t>划投资</w:t>
            </w:r>
          </w:p>
        </w:tc>
        <w:tc>
          <w:tcPr>
            <w:tcW w:w="992" w:type="dxa"/>
            <w:vMerge w:val="restart"/>
            <w:vAlign w:val="center"/>
          </w:tcPr>
          <w:p>
            <w:pPr>
              <w:tabs>
                <w:tab w:val="left" w:pos="8640"/>
              </w:tabs>
              <w:jc w:val="center"/>
              <w:rPr>
                <w:rFonts w:eastAsia="黑体"/>
                <w:kern w:val="0"/>
                <w:sz w:val="24"/>
              </w:rPr>
            </w:pPr>
            <w:r>
              <w:rPr>
                <w:rFonts w:eastAsia="黑体"/>
                <w:kern w:val="0"/>
                <w:sz w:val="24"/>
              </w:rPr>
              <w:t>完成</w:t>
            </w:r>
          </w:p>
          <w:p>
            <w:pPr>
              <w:tabs>
                <w:tab w:val="left" w:pos="8640"/>
              </w:tabs>
              <w:jc w:val="center"/>
              <w:rPr>
                <w:rFonts w:eastAsia="黑体"/>
                <w:kern w:val="0"/>
                <w:sz w:val="24"/>
              </w:rPr>
            </w:pPr>
            <w:r>
              <w:rPr>
                <w:rFonts w:eastAsia="黑体"/>
                <w:kern w:val="0"/>
                <w:sz w:val="24"/>
              </w:rPr>
              <w:t>投资</w:t>
            </w:r>
          </w:p>
        </w:tc>
        <w:tc>
          <w:tcPr>
            <w:tcW w:w="992" w:type="dxa"/>
            <w:vMerge w:val="restart"/>
            <w:vAlign w:val="center"/>
          </w:tcPr>
          <w:p>
            <w:pPr>
              <w:tabs>
                <w:tab w:val="left" w:pos="8640"/>
              </w:tabs>
              <w:jc w:val="center"/>
              <w:rPr>
                <w:rFonts w:eastAsia="黑体"/>
                <w:kern w:val="0"/>
                <w:sz w:val="24"/>
              </w:rPr>
            </w:pPr>
            <w:r>
              <w:rPr>
                <w:rFonts w:eastAsia="黑体"/>
                <w:kern w:val="0"/>
                <w:sz w:val="24"/>
              </w:rPr>
              <w:t>投资</w:t>
            </w:r>
          </w:p>
          <w:p>
            <w:pPr>
              <w:tabs>
                <w:tab w:val="left" w:pos="8640"/>
              </w:tabs>
              <w:jc w:val="center"/>
              <w:rPr>
                <w:rFonts w:eastAsia="黑体"/>
                <w:kern w:val="0"/>
                <w:sz w:val="24"/>
              </w:rPr>
            </w:pPr>
            <w:r>
              <w:rPr>
                <w:rFonts w:eastAsia="黑体"/>
                <w:kern w:val="0"/>
                <w:sz w:val="24"/>
              </w:rPr>
              <w:t>完成率</w:t>
            </w:r>
          </w:p>
        </w:tc>
        <w:tc>
          <w:tcPr>
            <w:tcW w:w="709" w:type="dxa"/>
            <w:vMerge w:val="restart"/>
            <w:tcBorders>
              <w:right w:val="double" w:color="auto" w:sz="4" w:space="0"/>
            </w:tcBorders>
            <w:vAlign w:val="center"/>
          </w:tcPr>
          <w:p>
            <w:pPr>
              <w:tabs>
                <w:tab w:val="left" w:pos="8640"/>
              </w:tabs>
              <w:jc w:val="center"/>
              <w:rPr>
                <w:rFonts w:eastAsia="黑体"/>
                <w:kern w:val="0"/>
                <w:sz w:val="24"/>
              </w:rPr>
            </w:pPr>
            <w:r>
              <w:rPr>
                <w:rFonts w:eastAsia="黑体"/>
                <w:kern w:val="0"/>
                <w:sz w:val="24"/>
              </w:rPr>
              <w:t>占比</w:t>
            </w:r>
          </w:p>
        </w:tc>
        <w:tc>
          <w:tcPr>
            <w:tcW w:w="2693" w:type="dxa"/>
            <w:gridSpan w:val="3"/>
            <w:tcBorders>
              <w:left w:val="double" w:color="auto" w:sz="4" w:space="0"/>
            </w:tcBorders>
            <w:vAlign w:val="center"/>
          </w:tcPr>
          <w:p>
            <w:pPr>
              <w:tabs>
                <w:tab w:val="left" w:pos="8640"/>
              </w:tabs>
              <w:jc w:val="center"/>
              <w:rPr>
                <w:rFonts w:eastAsia="黑体"/>
                <w:kern w:val="0"/>
                <w:sz w:val="24"/>
              </w:rPr>
            </w:pPr>
            <w:r>
              <w:rPr>
                <w:rFonts w:hint="eastAsia" w:eastAsia="黑体"/>
                <w:kern w:val="0"/>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kern w:val="0"/>
                <w:sz w:val="24"/>
              </w:rPr>
            </w:pPr>
          </w:p>
        </w:tc>
        <w:tc>
          <w:tcPr>
            <w:tcW w:w="1701" w:type="dxa"/>
            <w:vMerge w:val="continue"/>
            <w:vAlign w:val="center"/>
          </w:tcPr>
          <w:p>
            <w:pPr>
              <w:tabs>
                <w:tab w:val="left" w:pos="8640"/>
              </w:tabs>
              <w:jc w:val="center"/>
              <w:rPr>
                <w:rFonts w:eastAsia="黑体"/>
                <w:kern w:val="0"/>
                <w:sz w:val="24"/>
              </w:rPr>
            </w:pPr>
          </w:p>
        </w:tc>
        <w:tc>
          <w:tcPr>
            <w:tcW w:w="851" w:type="dxa"/>
            <w:vMerge w:val="continue"/>
            <w:vAlign w:val="center"/>
          </w:tcPr>
          <w:p>
            <w:pPr>
              <w:tabs>
                <w:tab w:val="left" w:pos="8640"/>
              </w:tabs>
              <w:jc w:val="center"/>
              <w:rPr>
                <w:rFonts w:eastAsia="黑体"/>
                <w:kern w:val="0"/>
                <w:sz w:val="24"/>
              </w:rPr>
            </w:pPr>
          </w:p>
        </w:tc>
        <w:tc>
          <w:tcPr>
            <w:tcW w:w="1134" w:type="dxa"/>
            <w:vMerge w:val="continue"/>
            <w:vAlign w:val="center"/>
          </w:tcPr>
          <w:p>
            <w:pPr>
              <w:tabs>
                <w:tab w:val="left" w:pos="8640"/>
              </w:tabs>
              <w:jc w:val="center"/>
              <w:rPr>
                <w:rFonts w:eastAsia="黑体"/>
                <w:kern w:val="0"/>
                <w:sz w:val="24"/>
              </w:rPr>
            </w:pPr>
          </w:p>
        </w:tc>
        <w:tc>
          <w:tcPr>
            <w:tcW w:w="992" w:type="dxa"/>
            <w:vMerge w:val="continue"/>
            <w:vAlign w:val="center"/>
          </w:tcPr>
          <w:p>
            <w:pPr>
              <w:tabs>
                <w:tab w:val="left" w:pos="8640"/>
              </w:tabs>
              <w:jc w:val="center"/>
              <w:rPr>
                <w:rFonts w:eastAsia="黑体"/>
                <w:kern w:val="0"/>
                <w:sz w:val="24"/>
              </w:rPr>
            </w:pPr>
          </w:p>
        </w:tc>
        <w:tc>
          <w:tcPr>
            <w:tcW w:w="992" w:type="dxa"/>
            <w:vMerge w:val="continue"/>
            <w:vAlign w:val="center"/>
          </w:tcPr>
          <w:p>
            <w:pPr>
              <w:tabs>
                <w:tab w:val="left" w:pos="8640"/>
              </w:tabs>
              <w:jc w:val="center"/>
              <w:rPr>
                <w:rFonts w:eastAsia="黑体"/>
                <w:kern w:val="0"/>
                <w:sz w:val="24"/>
              </w:rPr>
            </w:pPr>
          </w:p>
        </w:tc>
        <w:tc>
          <w:tcPr>
            <w:tcW w:w="709" w:type="dxa"/>
            <w:vMerge w:val="continue"/>
            <w:tcBorders>
              <w:right w:val="double" w:color="auto" w:sz="4" w:space="0"/>
            </w:tcBorders>
            <w:vAlign w:val="center"/>
          </w:tcPr>
          <w:p>
            <w:pPr>
              <w:tabs>
                <w:tab w:val="left" w:pos="8640"/>
              </w:tabs>
              <w:jc w:val="center"/>
              <w:rPr>
                <w:rFonts w:eastAsia="黑体"/>
                <w:kern w:val="0"/>
                <w:sz w:val="24"/>
              </w:rPr>
            </w:pPr>
          </w:p>
        </w:tc>
        <w:tc>
          <w:tcPr>
            <w:tcW w:w="709" w:type="dxa"/>
            <w:tcBorders>
              <w:left w:val="double" w:color="auto" w:sz="4" w:space="0"/>
            </w:tcBorders>
            <w:vAlign w:val="center"/>
          </w:tcPr>
          <w:p>
            <w:pPr>
              <w:tabs>
                <w:tab w:val="left" w:pos="8640"/>
              </w:tabs>
              <w:jc w:val="center"/>
              <w:rPr>
                <w:rFonts w:eastAsia="黑体"/>
                <w:kern w:val="0"/>
                <w:sz w:val="24"/>
              </w:rPr>
            </w:pPr>
            <w:r>
              <w:rPr>
                <w:rFonts w:hint="eastAsia" w:eastAsia="黑体"/>
                <w:kern w:val="0"/>
                <w:sz w:val="24"/>
              </w:rPr>
              <w:t>个数</w:t>
            </w:r>
          </w:p>
        </w:tc>
        <w:tc>
          <w:tcPr>
            <w:tcW w:w="992" w:type="dxa"/>
            <w:vAlign w:val="center"/>
          </w:tcPr>
          <w:p>
            <w:pPr>
              <w:tabs>
                <w:tab w:val="left" w:pos="8640"/>
              </w:tabs>
              <w:jc w:val="center"/>
              <w:rPr>
                <w:rFonts w:eastAsia="黑体"/>
                <w:kern w:val="0"/>
                <w:sz w:val="24"/>
              </w:rPr>
            </w:pPr>
            <w:r>
              <w:rPr>
                <w:rFonts w:hint="eastAsia" w:eastAsia="黑体"/>
                <w:kern w:val="0"/>
                <w:sz w:val="24"/>
              </w:rPr>
              <w:t>完成额</w:t>
            </w:r>
          </w:p>
        </w:tc>
        <w:tc>
          <w:tcPr>
            <w:tcW w:w="992" w:type="dxa"/>
            <w:vAlign w:val="center"/>
          </w:tcPr>
          <w:p>
            <w:pPr>
              <w:tabs>
                <w:tab w:val="left" w:pos="8640"/>
              </w:tabs>
              <w:jc w:val="center"/>
              <w:rPr>
                <w:rFonts w:eastAsia="黑体"/>
                <w:kern w:val="0"/>
                <w:sz w:val="24"/>
              </w:rPr>
            </w:pPr>
            <w:r>
              <w:rPr>
                <w:rFonts w:hint="eastAsia" w:eastAsia="黑体"/>
                <w:kern w:val="0"/>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1</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农水项目</w:t>
            </w:r>
          </w:p>
        </w:tc>
        <w:tc>
          <w:tcPr>
            <w:tcW w:w="851" w:type="dxa"/>
            <w:vAlign w:val="center"/>
          </w:tcPr>
          <w:p>
            <w:pPr>
              <w:jc w:val="center"/>
              <w:rPr>
                <w:rFonts w:eastAsia="仿宋_GB2312"/>
                <w:kern w:val="0"/>
                <w:sz w:val="24"/>
              </w:rPr>
            </w:pPr>
            <w:r>
              <w:rPr>
                <w:rFonts w:eastAsia="仿宋_GB2312"/>
                <w:kern w:val="0"/>
                <w:sz w:val="24"/>
              </w:rPr>
              <w:t>35</w:t>
            </w:r>
          </w:p>
        </w:tc>
        <w:tc>
          <w:tcPr>
            <w:tcW w:w="1134" w:type="dxa"/>
            <w:vAlign w:val="center"/>
          </w:tcPr>
          <w:p>
            <w:pPr>
              <w:jc w:val="center"/>
              <w:rPr>
                <w:rFonts w:eastAsia="仿宋_GB2312"/>
                <w:kern w:val="0"/>
                <w:sz w:val="24"/>
              </w:rPr>
            </w:pPr>
            <w:r>
              <w:rPr>
                <w:rFonts w:eastAsia="仿宋_GB2312"/>
                <w:kern w:val="0"/>
                <w:sz w:val="24"/>
              </w:rPr>
              <w:t>32.52</w:t>
            </w:r>
          </w:p>
        </w:tc>
        <w:tc>
          <w:tcPr>
            <w:tcW w:w="992" w:type="dxa"/>
            <w:vAlign w:val="center"/>
          </w:tcPr>
          <w:p>
            <w:pPr>
              <w:jc w:val="center"/>
              <w:rPr>
                <w:rFonts w:eastAsia="仿宋_GB2312"/>
                <w:kern w:val="0"/>
                <w:sz w:val="24"/>
              </w:rPr>
            </w:pPr>
            <w:r>
              <w:rPr>
                <w:rFonts w:hint="eastAsia" w:eastAsia="仿宋_GB2312"/>
                <w:kern w:val="0"/>
                <w:sz w:val="24"/>
              </w:rPr>
              <w:t>34.86</w:t>
            </w:r>
          </w:p>
        </w:tc>
        <w:tc>
          <w:tcPr>
            <w:tcW w:w="992" w:type="dxa"/>
            <w:vAlign w:val="center"/>
          </w:tcPr>
          <w:p>
            <w:pPr>
              <w:jc w:val="center"/>
              <w:rPr>
                <w:rFonts w:eastAsia="仿宋_GB2312"/>
                <w:kern w:val="0"/>
                <w:sz w:val="24"/>
              </w:rPr>
            </w:pPr>
            <w:r>
              <w:rPr>
                <w:rFonts w:hint="eastAsia" w:eastAsia="仿宋_GB2312"/>
                <w:kern w:val="0"/>
                <w:sz w:val="24"/>
              </w:rPr>
              <w:t xml:space="preserve">107.2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3.9 </w:t>
            </w:r>
          </w:p>
        </w:tc>
        <w:tc>
          <w:tcPr>
            <w:tcW w:w="709" w:type="dxa"/>
            <w:tcBorders>
              <w:left w:val="double" w:color="auto" w:sz="4" w:space="0"/>
            </w:tcBorders>
            <w:vAlign w:val="center"/>
          </w:tcPr>
          <w:p>
            <w:pPr>
              <w:jc w:val="center"/>
              <w:rPr>
                <w:rFonts w:eastAsia="仿宋_GB2312"/>
                <w:kern w:val="0"/>
                <w:sz w:val="24"/>
              </w:rPr>
            </w:pPr>
            <w:r>
              <w:rPr>
                <w:rFonts w:hint="eastAsia" w:eastAsia="仿宋_GB2312"/>
                <w:kern w:val="0"/>
                <w:sz w:val="24"/>
              </w:rPr>
              <w:t>20</w:t>
            </w:r>
          </w:p>
        </w:tc>
        <w:tc>
          <w:tcPr>
            <w:tcW w:w="992" w:type="dxa"/>
            <w:vAlign w:val="center"/>
          </w:tcPr>
          <w:p>
            <w:pPr>
              <w:jc w:val="center"/>
              <w:rPr>
                <w:rFonts w:eastAsia="仿宋_GB2312"/>
                <w:kern w:val="0"/>
                <w:sz w:val="24"/>
              </w:rPr>
            </w:pPr>
            <w:r>
              <w:rPr>
                <w:rFonts w:hint="eastAsia" w:eastAsia="仿宋_GB2312"/>
                <w:kern w:val="0"/>
                <w:sz w:val="24"/>
              </w:rPr>
              <w:t xml:space="preserve">26.89 </w:t>
            </w:r>
          </w:p>
        </w:tc>
        <w:tc>
          <w:tcPr>
            <w:tcW w:w="992" w:type="dxa"/>
            <w:vAlign w:val="center"/>
          </w:tcPr>
          <w:p>
            <w:pPr>
              <w:jc w:val="center"/>
              <w:rPr>
                <w:rFonts w:eastAsia="仿宋_GB2312"/>
                <w:kern w:val="0"/>
                <w:sz w:val="24"/>
              </w:rPr>
            </w:pPr>
            <w:r>
              <w:rPr>
                <w:rFonts w:hint="eastAsia" w:eastAsia="仿宋_GB2312"/>
                <w:kern w:val="0"/>
                <w:sz w:val="24"/>
              </w:rPr>
              <w:t xml:space="preserve">105.7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2</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交通项目</w:t>
            </w:r>
          </w:p>
        </w:tc>
        <w:tc>
          <w:tcPr>
            <w:tcW w:w="851" w:type="dxa"/>
            <w:vAlign w:val="center"/>
          </w:tcPr>
          <w:p>
            <w:pPr>
              <w:jc w:val="center"/>
              <w:rPr>
                <w:rFonts w:eastAsia="仿宋_GB2312"/>
                <w:kern w:val="0"/>
                <w:sz w:val="24"/>
              </w:rPr>
            </w:pPr>
            <w:r>
              <w:rPr>
                <w:rFonts w:eastAsia="仿宋_GB2312"/>
                <w:kern w:val="0"/>
                <w:sz w:val="24"/>
              </w:rPr>
              <w:t>68</w:t>
            </w:r>
          </w:p>
        </w:tc>
        <w:tc>
          <w:tcPr>
            <w:tcW w:w="1134" w:type="dxa"/>
            <w:vAlign w:val="center"/>
          </w:tcPr>
          <w:p>
            <w:pPr>
              <w:jc w:val="center"/>
              <w:rPr>
                <w:rFonts w:eastAsia="仿宋_GB2312"/>
                <w:kern w:val="0"/>
                <w:sz w:val="24"/>
              </w:rPr>
            </w:pPr>
            <w:r>
              <w:rPr>
                <w:rFonts w:eastAsia="仿宋_GB2312"/>
                <w:kern w:val="0"/>
                <w:sz w:val="24"/>
              </w:rPr>
              <w:t>317.54</w:t>
            </w:r>
          </w:p>
        </w:tc>
        <w:tc>
          <w:tcPr>
            <w:tcW w:w="992" w:type="dxa"/>
            <w:vAlign w:val="center"/>
          </w:tcPr>
          <w:p>
            <w:pPr>
              <w:jc w:val="center"/>
              <w:rPr>
                <w:rFonts w:eastAsia="仿宋_GB2312"/>
                <w:kern w:val="0"/>
                <w:sz w:val="24"/>
              </w:rPr>
            </w:pPr>
            <w:r>
              <w:rPr>
                <w:rFonts w:hint="eastAsia" w:eastAsia="仿宋_GB2312"/>
                <w:kern w:val="0"/>
                <w:sz w:val="24"/>
              </w:rPr>
              <w:t>302.11</w:t>
            </w:r>
          </w:p>
        </w:tc>
        <w:tc>
          <w:tcPr>
            <w:tcW w:w="992" w:type="dxa"/>
            <w:vAlign w:val="center"/>
          </w:tcPr>
          <w:p>
            <w:pPr>
              <w:jc w:val="center"/>
              <w:rPr>
                <w:rFonts w:eastAsia="仿宋_GB2312"/>
                <w:kern w:val="0"/>
                <w:sz w:val="24"/>
              </w:rPr>
            </w:pPr>
            <w:r>
              <w:rPr>
                <w:rFonts w:hint="eastAsia" w:eastAsia="仿宋_GB2312"/>
                <w:kern w:val="0"/>
                <w:sz w:val="24"/>
              </w:rPr>
              <w:t xml:space="preserve">95.1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33.4 </w:t>
            </w:r>
          </w:p>
        </w:tc>
        <w:tc>
          <w:tcPr>
            <w:tcW w:w="709" w:type="dxa"/>
            <w:tcBorders>
              <w:left w:val="double" w:color="auto" w:sz="4" w:space="0"/>
            </w:tcBorders>
            <w:vAlign w:val="center"/>
          </w:tcPr>
          <w:p>
            <w:pPr>
              <w:jc w:val="center"/>
              <w:rPr>
                <w:rFonts w:eastAsia="仿宋_GB2312"/>
                <w:kern w:val="0"/>
                <w:sz w:val="24"/>
              </w:rPr>
            </w:pPr>
            <w:r>
              <w:rPr>
                <w:rFonts w:hint="eastAsia" w:eastAsia="仿宋_GB2312"/>
                <w:kern w:val="0"/>
                <w:sz w:val="24"/>
              </w:rPr>
              <w:t>49</w:t>
            </w:r>
          </w:p>
        </w:tc>
        <w:tc>
          <w:tcPr>
            <w:tcW w:w="992" w:type="dxa"/>
            <w:vAlign w:val="center"/>
          </w:tcPr>
          <w:p>
            <w:pPr>
              <w:jc w:val="center"/>
              <w:rPr>
                <w:rFonts w:eastAsia="仿宋_GB2312"/>
                <w:kern w:val="0"/>
                <w:sz w:val="24"/>
              </w:rPr>
            </w:pPr>
            <w:r>
              <w:rPr>
                <w:rFonts w:hint="eastAsia" w:eastAsia="仿宋_GB2312"/>
                <w:kern w:val="0"/>
                <w:sz w:val="24"/>
              </w:rPr>
              <w:t xml:space="preserve">275.95 </w:t>
            </w:r>
          </w:p>
        </w:tc>
        <w:tc>
          <w:tcPr>
            <w:tcW w:w="992" w:type="dxa"/>
            <w:vAlign w:val="center"/>
          </w:tcPr>
          <w:p>
            <w:pPr>
              <w:jc w:val="center"/>
              <w:rPr>
                <w:rFonts w:eastAsia="仿宋_GB2312"/>
                <w:kern w:val="0"/>
                <w:sz w:val="24"/>
              </w:rPr>
            </w:pPr>
            <w:r>
              <w:rPr>
                <w:rFonts w:hint="eastAsia" w:eastAsia="仿宋_GB2312"/>
                <w:kern w:val="0"/>
                <w:sz w:val="24"/>
              </w:rPr>
              <w:t xml:space="preserve">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3</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能源项目</w:t>
            </w:r>
          </w:p>
        </w:tc>
        <w:tc>
          <w:tcPr>
            <w:tcW w:w="851" w:type="dxa"/>
            <w:vAlign w:val="center"/>
          </w:tcPr>
          <w:p>
            <w:pPr>
              <w:jc w:val="center"/>
              <w:rPr>
                <w:rFonts w:eastAsia="仿宋_GB2312"/>
                <w:kern w:val="0"/>
                <w:sz w:val="24"/>
              </w:rPr>
            </w:pPr>
            <w:r>
              <w:rPr>
                <w:rFonts w:eastAsia="仿宋_GB2312"/>
                <w:kern w:val="0"/>
                <w:sz w:val="24"/>
              </w:rPr>
              <w:t>11</w:t>
            </w:r>
          </w:p>
        </w:tc>
        <w:tc>
          <w:tcPr>
            <w:tcW w:w="1134" w:type="dxa"/>
            <w:vAlign w:val="center"/>
          </w:tcPr>
          <w:p>
            <w:pPr>
              <w:jc w:val="center"/>
              <w:rPr>
                <w:rFonts w:eastAsia="仿宋_GB2312"/>
                <w:kern w:val="0"/>
                <w:sz w:val="24"/>
              </w:rPr>
            </w:pPr>
            <w:r>
              <w:rPr>
                <w:rFonts w:eastAsia="仿宋_GB2312"/>
                <w:kern w:val="0"/>
                <w:sz w:val="24"/>
              </w:rPr>
              <w:t>35.99</w:t>
            </w:r>
          </w:p>
        </w:tc>
        <w:tc>
          <w:tcPr>
            <w:tcW w:w="992" w:type="dxa"/>
            <w:vAlign w:val="center"/>
          </w:tcPr>
          <w:p>
            <w:pPr>
              <w:jc w:val="center"/>
              <w:rPr>
                <w:rFonts w:eastAsia="仿宋_GB2312"/>
                <w:kern w:val="0"/>
                <w:sz w:val="24"/>
              </w:rPr>
            </w:pPr>
            <w:r>
              <w:rPr>
                <w:rFonts w:hint="eastAsia" w:eastAsia="仿宋_GB2312"/>
                <w:kern w:val="0"/>
                <w:sz w:val="24"/>
              </w:rPr>
              <w:t>37.71</w:t>
            </w:r>
          </w:p>
        </w:tc>
        <w:tc>
          <w:tcPr>
            <w:tcW w:w="992" w:type="dxa"/>
            <w:vAlign w:val="center"/>
          </w:tcPr>
          <w:p>
            <w:pPr>
              <w:jc w:val="center"/>
              <w:rPr>
                <w:rFonts w:eastAsia="仿宋_GB2312"/>
                <w:kern w:val="0"/>
                <w:sz w:val="24"/>
              </w:rPr>
            </w:pPr>
            <w:r>
              <w:rPr>
                <w:rFonts w:hint="eastAsia" w:eastAsia="仿宋_GB2312"/>
                <w:kern w:val="0"/>
                <w:sz w:val="24"/>
              </w:rPr>
              <w:t xml:space="preserve">104.8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4.2 </w:t>
            </w:r>
          </w:p>
        </w:tc>
        <w:tc>
          <w:tcPr>
            <w:tcW w:w="709" w:type="dxa"/>
            <w:tcBorders>
              <w:left w:val="double" w:color="auto" w:sz="4" w:space="0"/>
            </w:tcBorders>
            <w:vAlign w:val="center"/>
          </w:tcPr>
          <w:p>
            <w:pPr>
              <w:jc w:val="center"/>
              <w:rPr>
                <w:rFonts w:eastAsia="仿宋_GB2312"/>
                <w:kern w:val="0"/>
                <w:sz w:val="24"/>
              </w:rPr>
            </w:pPr>
            <w:r>
              <w:rPr>
                <w:rFonts w:hint="eastAsia" w:eastAsia="仿宋_GB2312"/>
                <w:kern w:val="0"/>
                <w:sz w:val="24"/>
              </w:rPr>
              <w:t>7</w:t>
            </w:r>
          </w:p>
        </w:tc>
        <w:tc>
          <w:tcPr>
            <w:tcW w:w="992" w:type="dxa"/>
            <w:vAlign w:val="center"/>
          </w:tcPr>
          <w:p>
            <w:pPr>
              <w:jc w:val="center"/>
              <w:rPr>
                <w:rFonts w:eastAsia="仿宋_GB2312"/>
                <w:kern w:val="0"/>
                <w:sz w:val="24"/>
              </w:rPr>
            </w:pPr>
            <w:r>
              <w:rPr>
                <w:rFonts w:hint="eastAsia" w:eastAsia="仿宋_GB2312"/>
                <w:kern w:val="0"/>
                <w:sz w:val="24"/>
              </w:rPr>
              <w:t xml:space="preserve">33.01 </w:t>
            </w:r>
          </w:p>
        </w:tc>
        <w:tc>
          <w:tcPr>
            <w:tcW w:w="992" w:type="dxa"/>
            <w:vAlign w:val="center"/>
          </w:tcPr>
          <w:p>
            <w:pPr>
              <w:jc w:val="center"/>
              <w:rPr>
                <w:rFonts w:eastAsia="仿宋_GB2312"/>
                <w:kern w:val="0"/>
                <w:sz w:val="24"/>
              </w:rPr>
            </w:pPr>
            <w:r>
              <w:rPr>
                <w:rFonts w:hint="eastAsia" w:eastAsia="仿宋_GB2312"/>
                <w:kern w:val="0"/>
                <w:sz w:val="24"/>
              </w:rPr>
              <w:t xml:space="preserve">103.6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4</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工业项目</w:t>
            </w:r>
          </w:p>
        </w:tc>
        <w:tc>
          <w:tcPr>
            <w:tcW w:w="851" w:type="dxa"/>
            <w:vAlign w:val="center"/>
          </w:tcPr>
          <w:p>
            <w:pPr>
              <w:jc w:val="center"/>
              <w:rPr>
                <w:rFonts w:eastAsia="仿宋_GB2312"/>
                <w:kern w:val="0"/>
                <w:sz w:val="24"/>
              </w:rPr>
            </w:pPr>
            <w:r>
              <w:rPr>
                <w:rFonts w:eastAsia="仿宋_GB2312"/>
                <w:kern w:val="0"/>
                <w:sz w:val="24"/>
              </w:rPr>
              <w:t>42</w:t>
            </w:r>
          </w:p>
        </w:tc>
        <w:tc>
          <w:tcPr>
            <w:tcW w:w="1134" w:type="dxa"/>
            <w:vAlign w:val="center"/>
          </w:tcPr>
          <w:p>
            <w:pPr>
              <w:jc w:val="center"/>
              <w:rPr>
                <w:rFonts w:eastAsia="仿宋_GB2312"/>
                <w:kern w:val="0"/>
                <w:sz w:val="24"/>
              </w:rPr>
            </w:pPr>
            <w:r>
              <w:rPr>
                <w:rFonts w:eastAsia="仿宋_GB2312"/>
                <w:kern w:val="0"/>
                <w:sz w:val="24"/>
              </w:rPr>
              <w:t>76.85</w:t>
            </w:r>
          </w:p>
        </w:tc>
        <w:tc>
          <w:tcPr>
            <w:tcW w:w="992" w:type="dxa"/>
            <w:vAlign w:val="center"/>
          </w:tcPr>
          <w:p>
            <w:pPr>
              <w:jc w:val="center"/>
              <w:rPr>
                <w:rFonts w:eastAsia="仿宋_GB2312"/>
                <w:kern w:val="0"/>
                <w:sz w:val="24"/>
              </w:rPr>
            </w:pPr>
            <w:r>
              <w:rPr>
                <w:rFonts w:hint="eastAsia" w:eastAsia="仿宋_GB2312"/>
                <w:kern w:val="0"/>
                <w:sz w:val="24"/>
              </w:rPr>
              <w:t>94.20</w:t>
            </w:r>
          </w:p>
        </w:tc>
        <w:tc>
          <w:tcPr>
            <w:tcW w:w="992" w:type="dxa"/>
            <w:vAlign w:val="center"/>
          </w:tcPr>
          <w:p>
            <w:pPr>
              <w:jc w:val="center"/>
              <w:rPr>
                <w:rFonts w:eastAsia="仿宋_GB2312"/>
                <w:kern w:val="0"/>
                <w:sz w:val="24"/>
              </w:rPr>
            </w:pPr>
            <w:r>
              <w:rPr>
                <w:rFonts w:hint="eastAsia" w:eastAsia="仿宋_GB2312"/>
                <w:kern w:val="0"/>
                <w:sz w:val="24"/>
              </w:rPr>
              <w:t xml:space="preserve">122.6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10.4 </w:t>
            </w:r>
          </w:p>
        </w:tc>
        <w:tc>
          <w:tcPr>
            <w:tcW w:w="709" w:type="dxa"/>
            <w:tcBorders>
              <w:left w:val="double" w:color="auto" w:sz="4" w:space="0"/>
            </w:tcBorders>
            <w:shd w:val="clear" w:color="auto" w:fill="auto"/>
            <w:vAlign w:val="center"/>
          </w:tcPr>
          <w:p>
            <w:pPr>
              <w:jc w:val="center"/>
              <w:rPr>
                <w:rFonts w:eastAsia="仿宋_GB2312"/>
                <w:kern w:val="0"/>
                <w:sz w:val="24"/>
              </w:rPr>
            </w:pPr>
            <w:r>
              <w:rPr>
                <w:rFonts w:hint="eastAsia" w:eastAsia="仿宋_GB2312"/>
                <w:kern w:val="0"/>
                <w:sz w:val="24"/>
              </w:rPr>
              <w:t>28</w:t>
            </w:r>
          </w:p>
        </w:tc>
        <w:tc>
          <w:tcPr>
            <w:tcW w:w="992" w:type="dxa"/>
            <w:shd w:val="clear" w:color="auto" w:fill="auto"/>
            <w:vAlign w:val="center"/>
          </w:tcPr>
          <w:p>
            <w:pPr>
              <w:jc w:val="center"/>
              <w:rPr>
                <w:rFonts w:eastAsia="仿宋_GB2312"/>
                <w:kern w:val="0"/>
                <w:sz w:val="24"/>
              </w:rPr>
            </w:pPr>
            <w:r>
              <w:rPr>
                <w:rFonts w:hint="eastAsia" w:eastAsia="仿宋_GB2312"/>
                <w:kern w:val="0"/>
                <w:sz w:val="24"/>
              </w:rPr>
              <w:t xml:space="preserve">82.99 </w:t>
            </w:r>
          </w:p>
        </w:tc>
        <w:tc>
          <w:tcPr>
            <w:tcW w:w="992" w:type="dxa"/>
            <w:shd w:val="clear" w:color="auto" w:fill="auto"/>
            <w:vAlign w:val="center"/>
          </w:tcPr>
          <w:p>
            <w:pPr>
              <w:jc w:val="center"/>
              <w:rPr>
                <w:rFonts w:eastAsia="仿宋_GB2312"/>
                <w:kern w:val="0"/>
                <w:sz w:val="24"/>
              </w:rPr>
            </w:pPr>
            <w:r>
              <w:rPr>
                <w:rFonts w:hint="eastAsia" w:eastAsia="仿宋_GB2312"/>
                <w:kern w:val="0"/>
                <w:sz w:val="24"/>
              </w:rPr>
              <w:t xml:space="preserve">124.8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5</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社会发展项目</w:t>
            </w:r>
          </w:p>
        </w:tc>
        <w:tc>
          <w:tcPr>
            <w:tcW w:w="851" w:type="dxa"/>
            <w:vAlign w:val="center"/>
          </w:tcPr>
          <w:p>
            <w:pPr>
              <w:jc w:val="center"/>
              <w:rPr>
                <w:rFonts w:eastAsia="仿宋_GB2312"/>
                <w:kern w:val="0"/>
                <w:sz w:val="24"/>
              </w:rPr>
            </w:pPr>
            <w:r>
              <w:rPr>
                <w:rFonts w:eastAsia="仿宋_GB2312"/>
                <w:kern w:val="0"/>
                <w:sz w:val="24"/>
              </w:rPr>
              <w:t>46</w:t>
            </w:r>
          </w:p>
        </w:tc>
        <w:tc>
          <w:tcPr>
            <w:tcW w:w="1134" w:type="dxa"/>
            <w:vAlign w:val="center"/>
          </w:tcPr>
          <w:p>
            <w:pPr>
              <w:jc w:val="center"/>
              <w:rPr>
                <w:rFonts w:eastAsia="仿宋_GB2312"/>
                <w:kern w:val="0"/>
                <w:sz w:val="24"/>
              </w:rPr>
            </w:pPr>
            <w:r>
              <w:rPr>
                <w:rFonts w:eastAsia="仿宋_GB2312"/>
                <w:kern w:val="0"/>
                <w:sz w:val="24"/>
              </w:rPr>
              <w:t>46.19</w:t>
            </w:r>
          </w:p>
        </w:tc>
        <w:tc>
          <w:tcPr>
            <w:tcW w:w="992" w:type="dxa"/>
            <w:vAlign w:val="center"/>
          </w:tcPr>
          <w:p>
            <w:pPr>
              <w:jc w:val="center"/>
              <w:rPr>
                <w:rFonts w:eastAsia="仿宋_GB2312"/>
                <w:kern w:val="0"/>
                <w:sz w:val="24"/>
              </w:rPr>
            </w:pPr>
            <w:r>
              <w:rPr>
                <w:rFonts w:hint="eastAsia" w:eastAsia="仿宋_GB2312"/>
                <w:kern w:val="0"/>
                <w:sz w:val="24"/>
              </w:rPr>
              <w:t>44.33</w:t>
            </w:r>
          </w:p>
        </w:tc>
        <w:tc>
          <w:tcPr>
            <w:tcW w:w="992" w:type="dxa"/>
            <w:vAlign w:val="center"/>
          </w:tcPr>
          <w:p>
            <w:pPr>
              <w:jc w:val="center"/>
              <w:rPr>
                <w:rFonts w:eastAsia="仿宋_GB2312"/>
                <w:kern w:val="0"/>
                <w:sz w:val="24"/>
              </w:rPr>
            </w:pPr>
            <w:r>
              <w:rPr>
                <w:rFonts w:hint="eastAsia" w:eastAsia="仿宋_GB2312"/>
                <w:kern w:val="0"/>
                <w:sz w:val="24"/>
              </w:rPr>
              <w:t xml:space="preserve">96.0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4.9 </w:t>
            </w:r>
          </w:p>
        </w:tc>
        <w:tc>
          <w:tcPr>
            <w:tcW w:w="709" w:type="dxa"/>
            <w:tcBorders>
              <w:left w:val="double" w:color="auto" w:sz="4" w:space="0"/>
            </w:tcBorders>
            <w:vAlign w:val="center"/>
          </w:tcPr>
          <w:p>
            <w:pPr>
              <w:jc w:val="center"/>
              <w:rPr>
                <w:rFonts w:eastAsia="仿宋_GB2312"/>
                <w:kern w:val="0"/>
                <w:sz w:val="24"/>
              </w:rPr>
            </w:pPr>
            <w:r>
              <w:rPr>
                <w:rFonts w:hint="eastAsia" w:eastAsia="仿宋_GB2312"/>
                <w:kern w:val="0"/>
                <w:sz w:val="24"/>
              </w:rPr>
              <w:t>17</w:t>
            </w:r>
          </w:p>
        </w:tc>
        <w:tc>
          <w:tcPr>
            <w:tcW w:w="992" w:type="dxa"/>
            <w:vAlign w:val="center"/>
          </w:tcPr>
          <w:p>
            <w:pPr>
              <w:jc w:val="center"/>
              <w:rPr>
                <w:rFonts w:eastAsia="仿宋_GB2312"/>
                <w:kern w:val="0"/>
                <w:sz w:val="24"/>
              </w:rPr>
            </w:pPr>
            <w:r>
              <w:rPr>
                <w:rFonts w:hint="eastAsia" w:eastAsia="仿宋_GB2312"/>
                <w:kern w:val="0"/>
                <w:sz w:val="24"/>
              </w:rPr>
              <w:t xml:space="preserve">25.74 </w:t>
            </w:r>
          </w:p>
        </w:tc>
        <w:tc>
          <w:tcPr>
            <w:tcW w:w="992" w:type="dxa"/>
            <w:vAlign w:val="center"/>
          </w:tcPr>
          <w:p>
            <w:pPr>
              <w:jc w:val="center"/>
              <w:rPr>
                <w:rFonts w:eastAsia="仿宋_GB2312"/>
                <w:kern w:val="0"/>
                <w:sz w:val="24"/>
              </w:rPr>
            </w:pPr>
            <w:r>
              <w:rPr>
                <w:rFonts w:hint="eastAsia" w:eastAsia="仿宋_GB2312"/>
                <w:kern w:val="0"/>
                <w:sz w:val="24"/>
              </w:rPr>
              <w:t xml:space="preserve">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6</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城市建设及基础设施项目</w:t>
            </w:r>
          </w:p>
        </w:tc>
        <w:tc>
          <w:tcPr>
            <w:tcW w:w="851" w:type="dxa"/>
            <w:vAlign w:val="center"/>
          </w:tcPr>
          <w:p>
            <w:pPr>
              <w:jc w:val="center"/>
              <w:rPr>
                <w:rFonts w:eastAsia="仿宋_GB2312"/>
                <w:kern w:val="0"/>
                <w:sz w:val="24"/>
              </w:rPr>
            </w:pPr>
            <w:r>
              <w:rPr>
                <w:rFonts w:eastAsia="仿宋_GB2312"/>
                <w:kern w:val="0"/>
                <w:sz w:val="24"/>
              </w:rPr>
              <w:t>95</w:t>
            </w:r>
          </w:p>
        </w:tc>
        <w:tc>
          <w:tcPr>
            <w:tcW w:w="1134" w:type="dxa"/>
            <w:vAlign w:val="center"/>
          </w:tcPr>
          <w:p>
            <w:pPr>
              <w:jc w:val="center"/>
              <w:rPr>
                <w:rFonts w:eastAsia="仿宋_GB2312"/>
                <w:kern w:val="0"/>
                <w:sz w:val="24"/>
              </w:rPr>
            </w:pPr>
            <w:r>
              <w:rPr>
                <w:rFonts w:eastAsia="仿宋_GB2312"/>
                <w:kern w:val="0"/>
                <w:sz w:val="24"/>
              </w:rPr>
              <w:t>196.08</w:t>
            </w:r>
          </w:p>
        </w:tc>
        <w:tc>
          <w:tcPr>
            <w:tcW w:w="992" w:type="dxa"/>
            <w:vAlign w:val="center"/>
          </w:tcPr>
          <w:p>
            <w:pPr>
              <w:jc w:val="center"/>
              <w:rPr>
                <w:rFonts w:eastAsia="仿宋_GB2312"/>
                <w:kern w:val="0"/>
                <w:sz w:val="24"/>
              </w:rPr>
            </w:pPr>
            <w:r>
              <w:rPr>
                <w:rFonts w:hint="eastAsia" w:eastAsia="仿宋_GB2312"/>
                <w:kern w:val="0"/>
                <w:sz w:val="24"/>
              </w:rPr>
              <w:t>245.33</w:t>
            </w:r>
          </w:p>
        </w:tc>
        <w:tc>
          <w:tcPr>
            <w:tcW w:w="992" w:type="dxa"/>
            <w:vAlign w:val="center"/>
          </w:tcPr>
          <w:p>
            <w:pPr>
              <w:jc w:val="center"/>
              <w:rPr>
                <w:rFonts w:eastAsia="仿宋_GB2312"/>
                <w:kern w:val="0"/>
                <w:sz w:val="24"/>
              </w:rPr>
            </w:pPr>
            <w:r>
              <w:rPr>
                <w:rFonts w:hint="eastAsia" w:eastAsia="仿宋_GB2312"/>
                <w:kern w:val="0"/>
                <w:sz w:val="24"/>
              </w:rPr>
              <w:t>125.1</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27.1 </w:t>
            </w:r>
          </w:p>
        </w:tc>
        <w:tc>
          <w:tcPr>
            <w:tcW w:w="709" w:type="dxa"/>
            <w:tcBorders>
              <w:left w:val="double" w:color="auto" w:sz="4" w:space="0"/>
            </w:tcBorders>
            <w:vAlign w:val="center"/>
          </w:tcPr>
          <w:p>
            <w:pPr>
              <w:jc w:val="center"/>
              <w:rPr>
                <w:rFonts w:eastAsia="仿宋_GB2312"/>
                <w:kern w:val="0"/>
                <w:sz w:val="24"/>
              </w:rPr>
            </w:pPr>
            <w:r>
              <w:rPr>
                <w:rFonts w:hint="eastAsia" w:eastAsia="仿宋_GB2312"/>
                <w:kern w:val="0"/>
                <w:sz w:val="24"/>
              </w:rPr>
              <w:t>60</w:t>
            </w:r>
          </w:p>
        </w:tc>
        <w:tc>
          <w:tcPr>
            <w:tcW w:w="992" w:type="dxa"/>
            <w:vAlign w:val="center"/>
          </w:tcPr>
          <w:p>
            <w:pPr>
              <w:jc w:val="center"/>
              <w:rPr>
                <w:rFonts w:eastAsia="仿宋_GB2312"/>
                <w:kern w:val="0"/>
                <w:sz w:val="24"/>
              </w:rPr>
            </w:pPr>
            <w:r>
              <w:rPr>
                <w:rFonts w:hint="eastAsia" w:eastAsia="仿宋_GB2312"/>
                <w:kern w:val="0"/>
                <w:sz w:val="24"/>
              </w:rPr>
              <w:t xml:space="preserve">216.46 </w:t>
            </w:r>
          </w:p>
        </w:tc>
        <w:tc>
          <w:tcPr>
            <w:tcW w:w="992" w:type="dxa"/>
            <w:vAlign w:val="center"/>
          </w:tcPr>
          <w:p>
            <w:pPr>
              <w:jc w:val="center"/>
              <w:rPr>
                <w:rFonts w:eastAsia="仿宋_GB2312"/>
                <w:kern w:val="0"/>
                <w:sz w:val="24"/>
              </w:rPr>
            </w:pPr>
            <w:r>
              <w:rPr>
                <w:rFonts w:hint="eastAsia" w:eastAsia="仿宋_GB2312"/>
                <w:kern w:val="0"/>
                <w:sz w:val="24"/>
              </w:rPr>
              <w:t xml:space="preserve">124.7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kern w:val="0"/>
                <w:sz w:val="24"/>
              </w:rPr>
            </w:pPr>
            <w:r>
              <w:rPr>
                <w:rFonts w:eastAsia="仿宋_GB2312"/>
                <w:kern w:val="0"/>
                <w:sz w:val="24"/>
              </w:rPr>
              <w:t>7</w:t>
            </w:r>
          </w:p>
        </w:tc>
        <w:tc>
          <w:tcPr>
            <w:tcW w:w="1701" w:type="dxa"/>
            <w:vAlign w:val="center"/>
          </w:tcPr>
          <w:p>
            <w:pPr>
              <w:tabs>
                <w:tab w:val="left" w:pos="8640"/>
              </w:tabs>
              <w:spacing w:line="300" w:lineRule="exact"/>
              <w:jc w:val="center"/>
              <w:rPr>
                <w:rFonts w:eastAsia="仿宋_GB2312"/>
                <w:kern w:val="0"/>
                <w:sz w:val="24"/>
              </w:rPr>
            </w:pPr>
            <w:r>
              <w:rPr>
                <w:rFonts w:eastAsia="仿宋_GB2312"/>
                <w:kern w:val="0"/>
                <w:sz w:val="24"/>
              </w:rPr>
              <w:t>服务业项目</w:t>
            </w:r>
          </w:p>
        </w:tc>
        <w:tc>
          <w:tcPr>
            <w:tcW w:w="851" w:type="dxa"/>
            <w:vAlign w:val="center"/>
          </w:tcPr>
          <w:p>
            <w:pPr>
              <w:jc w:val="center"/>
              <w:rPr>
                <w:rFonts w:eastAsia="仿宋_GB2312"/>
                <w:kern w:val="0"/>
                <w:sz w:val="24"/>
              </w:rPr>
            </w:pPr>
            <w:r>
              <w:rPr>
                <w:rFonts w:eastAsia="仿宋_GB2312"/>
                <w:kern w:val="0"/>
                <w:sz w:val="24"/>
              </w:rPr>
              <w:t>59</w:t>
            </w:r>
          </w:p>
        </w:tc>
        <w:tc>
          <w:tcPr>
            <w:tcW w:w="1134" w:type="dxa"/>
            <w:vAlign w:val="center"/>
          </w:tcPr>
          <w:p>
            <w:pPr>
              <w:jc w:val="center"/>
              <w:rPr>
                <w:rFonts w:eastAsia="仿宋_GB2312"/>
                <w:kern w:val="0"/>
                <w:sz w:val="24"/>
              </w:rPr>
            </w:pPr>
            <w:r>
              <w:rPr>
                <w:rFonts w:eastAsia="仿宋_GB2312"/>
                <w:kern w:val="0"/>
                <w:sz w:val="24"/>
              </w:rPr>
              <w:t>126.00</w:t>
            </w:r>
          </w:p>
        </w:tc>
        <w:tc>
          <w:tcPr>
            <w:tcW w:w="992" w:type="dxa"/>
            <w:vAlign w:val="center"/>
          </w:tcPr>
          <w:p>
            <w:pPr>
              <w:jc w:val="center"/>
              <w:rPr>
                <w:rFonts w:eastAsia="仿宋_GB2312"/>
                <w:kern w:val="0"/>
                <w:sz w:val="24"/>
              </w:rPr>
            </w:pPr>
            <w:r>
              <w:rPr>
                <w:rFonts w:hint="eastAsia" w:eastAsia="仿宋_GB2312"/>
                <w:kern w:val="0"/>
                <w:sz w:val="24"/>
              </w:rPr>
              <w:t>146.09</w:t>
            </w:r>
          </w:p>
        </w:tc>
        <w:tc>
          <w:tcPr>
            <w:tcW w:w="992" w:type="dxa"/>
            <w:vAlign w:val="center"/>
          </w:tcPr>
          <w:p>
            <w:pPr>
              <w:jc w:val="center"/>
              <w:rPr>
                <w:rFonts w:eastAsia="仿宋_GB2312"/>
                <w:kern w:val="0"/>
                <w:sz w:val="24"/>
              </w:rPr>
            </w:pPr>
            <w:r>
              <w:rPr>
                <w:rFonts w:hint="eastAsia" w:eastAsia="仿宋_GB2312"/>
                <w:kern w:val="0"/>
                <w:sz w:val="24"/>
              </w:rPr>
              <w:t xml:space="preserve">115.9 </w:t>
            </w:r>
          </w:p>
        </w:tc>
        <w:tc>
          <w:tcPr>
            <w:tcW w:w="709" w:type="dxa"/>
            <w:tcBorders>
              <w:right w:val="double" w:color="auto" w:sz="4" w:space="0"/>
            </w:tcBorders>
            <w:vAlign w:val="center"/>
          </w:tcPr>
          <w:p>
            <w:pPr>
              <w:jc w:val="center"/>
              <w:rPr>
                <w:rFonts w:eastAsia="仿宋_GB2312"/>
                <w:kern w:val="0"/>
                <w:sz w:val="24"/>
              </w:rPr>
            </w:pPr>
            <w:r>
              <w:rPr>
                <w:rFonts w:hint="eastAsia" w:eastAsia="仿宋_GB2312"/>
                <w:kern w:val="0"/>
                <w:sz w:val="24"/>
              </w:rPr>
              <w:t xml:space="preserve">16.1 </w:t>
            </w:r>
          </w:p>
        </w:tc>
        <w:tc>
          <w:tcPr>
            <w:tcW w:w="709" w:type="dxa"/>
            <w:tcBorders>
              <w:left w:val="double" w:color="auto" w:sz="4" w:space="0"/>
            </w:tcBorders>
            <w:shd w:val="clear" w:color="auto" w:fill="auto"/>
            <w:vAlign w:val="center"/>
          </w:tcPr>
          <w:p>
            <w:pPr>
              <w:jc w:val="center"/>
              <w:rPr>
                <w:rFonts w:eastAsia="仿宋_GB2312"/>
                <w:kern w:val="0"/>
                <w:sz w:val="24"/>
              </w:rPr>
            </w:pPr>
            <w:r>
              <w:rPr>
                <w:rFonts w:hint="eastAsia" w:eastAsia="仿宋_GB2312"/>
                <w:kern w:val="0"/>
                <w:sz w:val="24"/>
              </w:rPr>
              <w:t>42</w:t>
            </w:r>
          </w:p>
        </w:tc>
        <w:tc>
          <w:tcPr>
            <w:tcW w:w="992" w:type="dxa"/>
            <w:shd w:val="clear" w:color="auto" w:fill="auto"/>
            <w:vAlign w:val="center"/>
          </w:tcPr>
          <w:p>
            <w:pPr>
              <w:jc w:val="center"/>
              <w:rPr>
                <w:rFonts w:eastAsia="仿宋_GB2312"/>
                <w:kern w:val="0"/>
                <w:sz w:val="24"/>
              </w:rPr>
            </w:pPr>
            <w:r>
              <w:rPr>
                <w:rFonts w:hint="eastAsia" w:eastAsia="仿宋_GB2312"/>
                <w:kern w:val="0"/>
                <w:sz w:val="24"/>
              </w:rPr>
              <w:t xml:space="preserve">133.55 </w:t>
            </w:r>
          </w:p>
        </w:tc>
        <w:tc>
          <w:tcPr>
            <w:tcW w:w="992" w:type="dxa"/>
            <w:shd w:val="clear" w:color="auto" w:fill="auto"/>
            <w:vAlign w:val="center"/>
          </w:tcPr>
          <w:p>
            <w:pPr>
              <w:jc w:val="center"/>
              <w:rPr>
                <w:rFonts w:eastAsia="仿宋_GB2312"/>
                <w:kern w:val="0"/>
                <w:sz w:val="24"/>
              </w:rPr>
            </w:pPr>
            <w:r>
              <w:rPr>
                <w:rFonts w:hint="eastAsia" w:eastAsia="仿宋_GB2312"/>
                <w:kern w:val="0"/>
                <w:sz w:val="24"/>
              </w:rPr>
              <w:t xml:space="preserve">119.2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kern w:val="0"/>
                <w:sz w:val="24"/>
              </w:rPr>
            </w:pPr>
            <w:r>
              <w:rPr>
                <w:rFonts w:eastAsia="仿宋_GB2312"/>
                <w:b/>
                <w:kern w:val="0"/>
                <w:sz w:val="24"/>
              </w:rPr>
              <w:t>合计</w:t>
            </w:r>
          </w:p>
        </w:tc>
        <w:tc>
          <w:tcPr>
            <w:tcW w:w="851" w:type="dxa"/>
            <w:shd w:val="clear" w:color="auto" w:fill="auto"/>
            <w:vAlign w:val="center"/>
          </w:tcPr>
          <w:p>
            <w:pPr>
              <w:jc w:val="center"/>
              <w:rPr>
                <w:rFonts w:eastAsia="仿宋_GB2312"/>
                <w:b/>
                <w:kern w:val="0"/>
                <w:sz w:val="24"/>
              </w:rPr>
            </w:pPr>
            <w:r>
              <w:rPr>
                <w:rFonts w:eastAsia="仿宋_GB2312"/>
                <w:b/>
                <w:kern w:val="0"/>
                <w:sz w:val="24"/>
              </w:rPr>
              <w:t>356</w:t>
            </w:r>
          </w:p>
        </w:tc>
        <w:tc>
          <w:tcPr>
            <w:tcW w:w="1134" w:type="dxa"/>
            <w:shd w:val="clear" w:color="auto" w:fill="auto"/>
            <w:vAlign w:val="center"/>
          </w:tcPr>
          <w:p>
            <w:pPr>
              <w:jc w:val="center"/>
              <w:rPr>
                <w:rFonts w:eastAsia="仿宋_GB2312"/>
                <w:b/>
                <w:kern w:val="0"/>
                <w:sz w:val="24"/>
              </w:rPr>
            </w:pPr>
            <w:r>
              <w:rPr>
                <w:rFonts w:eastAsia="仿宋_GB2312"/>
                <w:b/>
                <w:kern w:val="0"/>
                <w:sz w:val="24"/>
              </w:rPr>
              <w:t>831.17</w:t>
            </w:r>
          </w:p>
        </w:tc>
        <w:tc>
          <w:tcPr>
            <w:tcW w:w="992" w:type="dxa"/>
            <w:shd w:val="clear" w:color="auto" w:fill="auto"/>
            <w:vAlign w:val="center"/>
          </w:tcPr>
          <w:p>
            <w:pPr>
              <w:jc w:val="center"/>
              <w:rPr>
                <w:rFonts w:eastAsia="仿宋_GB2312"/>
                <w:b/>
                <w:kern w:val="0"/>
                <w:sz w:val="24"/>
              </w:rPr>
            </w:pPr>
            <w:r>
              <w:rPr>
                <w:rFonts w:hint="eastAsia" w:eastAsia="仿宋_GB2312"/>
                <w:b/>
                <w:kern w:val="0"/>
                <w:sz w:val="24"/>
              </w:rPr>
              <w:t>904.64</w:t>
            </w:r>
          </w:p>
        </w:tc>
        <w:tc>
          <w:tcPr>
            <w:tcW w:w="992" w:type="dxa"/>
            <w:shd w:val="clear" w:color="auto" w:fill="auto"/>
            <w:vAlign w:val="center"/>
          </w:tcPr>
          <w:p>
            <w:pPr>
              <w:tabs>
                <w:tab w:val="left" w:pos="8640"/>
              </w:tabs>
              <w:spacing w:line="300" w:lineRule="exact"/>
              <w:jc w:val="center"/>
              <w:rPr>
                <w:rFonts w:eastAsia="仿宋_GB2312"/>
                <w:b/>
                <w:kern w:val="0"/>
                <w:sz w:val="24"/>
              </w:rPr>
            </w:pPr>
            <w:r>
              <w:rPr>
                <w:rFonts w:hint="eastAsia" w:eastAsia="仿宋_GB2312"/>
                <w:b/>
                <w:kern w:val="0"/>
                <w:sz w:val="24"/>
              </w:rPr>
              <w:t>108.8</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kern w:val="0"/>
                <w:sz w:val="24"/>
              </w:rPr>
            </w:pPr>
            <w:r>
              <w:rPr>
                <w:rFonts w:eastAsia="仿宋_GB2312"/>
                <w:b/>
                <w:kern w:val="0"/>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kern w:val="0"/>
                <w:sz w:val="24"/>
              </w:rPr>
            </w:pPr>
            <w:r>
              <w:rPr>
                <w:rFonts w:hint="eastAsia" w:eastAsia="仿宋_GB2312"/>
                <w:b/>
                <w:kern w:val="0"/>
                <w:sz w:val="24"/>
              </w:rPr>
              <w:t>223</w:t>
            </w:r>
          </w:p>
        </w:tc>
        <w:tc>
          <w:tcPr>
            <w:tcW w:w="992" w:type="dxa"/>
            <w:shd w:val="clear" w:color="auto" w:fill="auto"/>
            <w:vAlign w:val="center"/>
          </w:tcPr>
          <w:p>
            <w:pPr>
              <w:tabs>
                <w:tab w:val="left" w:pos="8640"/>
              </w:tabs>
              <w:spacing w:line="300" w:lineRule="exact"/>
              <w:jc w:val="center"/>
              <w:rPr>
                <w:rFonts w:eastAsia="仿宋_GB2312"/>
                <w:b/>
                <w:kern w:val="0"/>
                <w:sz w:val="24"/>
              </w:rPr>
            </w:pPr>
            <w:r>
              <w:rPr>
                <w:rFonts w:hint="eastAsia" w:eastAsia="仿宋_GB2312"/>
                <w:b/>
                <w:kern w:val="0"/>
                <w:sz w:val="24"/>
              </w:rPr>
              <w:t xml:space="preserve">794.60 </w:t>
            </w:r>
          </w:p>
        </w:tc>
        <w:tc>
          <w:tcPr>
            <w:tcW w:w="992" w:type="dxa"/>
            <w:shd w:val="clear" w:color="auto" w:fill="auto"/>
            <w:vAlign w:val="center"/>
          </w:tcPr>
          <w:p>
            <w:pPr>
              <w:tabs>
                <w:tab w:val="left" w:pos="8640"/>
              </w:tabs>
              <w:spacing w:line="300" w:lineRule="exact"/>
              <w:jc w:val="center"/>
              <w:rPr>
                <w:rFonts w:eastAsia="仿宋_GB2312"/>
                <w:b/>
                <w:kern w:val="0"/>
                <w:sz w:val="24"/>
              </w:rPr>
            </w:pPr>
            <w:r>
              <w:rPr>
                <w:rFonts w:hint="eastAsia" w:eastAsia="仿宋_GB2312"/>
                <w:b/>
                <w:kern w:val="0"/>
                <w:sz w:val="24"/>
              </w:rPr>
              <w:t xml:space="preserve">108.0 </w:t>
            </w:r>
          </w:p>
        </w:tc>
      </w:tr>
    </w:tbl>
    <w:p>
      <w:pPr>
        <w:tabs>
          <w:tab w:val="left" w:pos="8640"/>
        </w:tabs>
        <w:spacing w:line="600" w:lineRule="exact"/>
        <w:rPr>
          <w:rFonts w:eastAsia="仿宋_GB2312"/>
          <w:kern w:val="0"/>
          <w:sz w:val="32"/>
          <w:szCs w:val="32"/>
        </w:rPr>
      </w:pPr>
      <w:r>
        <w:rPr>
          <w:rFonts w:eastAsia="仿宋_GB2312"/>
          <w:kern w:val="0"/>
          <w:sz w:val="32"/>
          <w:szCs w:val="32"/>
        </w:rPr>
        <w:br w:type="page"/>
      </w:r>
    </w:p>
    <w:p>
      <w:pPr>
        <w:tabs>
          <w:tab w:val="left" w:pos="8640"/>
        </w:tabs>
        <w:spacing w:line="500" w:lineRule="exact"/>
        <w:ind w:right="480"/>
        <w:jc w:val="left"/>
        <w:rPr>
          <w:rFonts w:eastAsia="黑体"/>
          <w:kern w:val="0"/>
          <w:sz w:val="36"/>
          <w:szCs w:val="36"/>
        </w:rPr>
      </w:pPr>
      <w:r>
        <w:rPr>
          <w:rFonts w:hint="eastAsia" w:eastAsia="黑体"/>
          <w:kern w:val="0"/>
          <w:sz w:val="32"/>
          <w:szCs w:val="32"/>
        </w:rPr>
        <w:t>附件2</w:t>
      </w:r>
    </w:p>
    <w:p>
      <w:pPr>
        <w:tabs>
          <w:tab w:val="left" w:pos="8640"/>
        </w:tabs>
        <w:spacing w:line="600" w:lineRule="exact"/>
        <w:jc w:val="center"/>
        <w:rPr>
          <w:rFonts w:eastAsia="方正小标宋简体"/>
          <w:kern w:val="0"/>
          <w:sz w:val="36"/>
          <w:szCs w:val="36"/>
        </w:rPr>
      </w:pPr>
      <w:r>
        <w:rPr>
          <w:rFonts w:hint="eastAsia" w:eastAsia="方正小标宋简体"/>
          <w:kern w:val="0"/>
          <w:sz w:val="36"/>
          <w:szCs w:val="36"/>
        </w:rPr>
        <w:t>2018年市重点建设项目分区域完成情况表</w:t>
      </w:r>
      <w:r>
        <w:rPr>
          <w:rFonts w:hint="eastAsia" w:eastAsia="楷体_GB2312"/>
          <w:kern w:val="0"/>
          <w:sz w:val="32"/>
          <w:szCs w:val="32"/>
        </w:rPr>
        <w:t>（1-11月）</w:t>
      </w:r>
    </w:p>
    <w:p>
      <w:pPr>
        <w:tabs>
          <w:tab w:val="left" w:pos="8640"/>
        </w:tabs>
        <w:spacing w:line="500" w:lineRule="exact"/>
        <w:ind w:firstLine="7560" w:firstLineChars="3150"/>
        <w:rPr>
          <w:rFonts w:eastAsia="楷体_GB2312"/>
          <w:kern w:val="0"/>
          <w:sz w:val="24"/>
        </w:rPr>
      </w:pPr>
      <w:r>
        <w:rPr>
          <w:rFonts w:hint="eastAsia" w:eastAsia="楷体_GB2312"/>
          <w:kern w:val="0"/>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6"/>
        <w:gridCol w:w="1701"/>
        <w:gridCol w:w="1701"/>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kern w:val="0"/>
                <w:sz w:val="24"/>
              </w:rPr>
            </w:pPr>
            <w:r>
              <w:rPr>
                <w:rFonts w:eastAsia="黑体"/>
                <w:kern w:val="0"/>
                <w:sz w:val="24"/>
              </w:rPr>
              <w:t>序号</w:t>
            </w:r>
          </w:p>
        </w:tc>
        <w:tc>
          <w:tcPr>
            <w:tcW w:w="1416" w:type="dxa"/>
            <w:tcBorders>
              <w:left w:val="single" w:color="auto" w:sz="4" w:space="0"/>
              <w:right w:val="single" w:color="auto" w:sz="4" w:space="0"/>
            </w:tcBorders>
            <w:vAlign w:val="center"/>
          </w:tcPr>
          <w:p>
            <w:pPr>
              <w:jc w:val="center"/>
              <w:rPr>
                <w:rFonts w:eastAsia="黑体"/>
                <w:kern w:val="0"/>
                <w:sz w:val="24"/>
              </w:rPr>
            </w:pPr>
            <w:r>
              <w:rPr>
                <w:rFonts w:eastAsia="黑体"/>
                <w:kern w:val="0"/>
                <w:sz w:val="24"/>
              </w:rPr>
              <w:t>责任单位</w:t>
            </w:r>
          </w:p>
        </w:tc>
        <w:tc>
          <w:tcPr>
            <w:tcW w:w="1701" w:type="dxa"/>
            <w:tcBorders>
              <w:left w:val="single" w:color="auto" w:sz="4" w:space="0"/>
              <w:right w:val="single" w:color="auto" w:sz="4" w:space="0"/>
            </w:tcBorders>
            <w:vAlign w:val="center"/>
          </w:tcPr>
          <w:p>
            <w:pPr>
              <w:jc w:val="center"/>
              <w:rPr>
                <w:rFonts w:eastAsia="黑体"/>
                <w:kern w:val="0"/>
                <w:sz w:val="24"/>
              </w:rPr>
            </w:pPr>
            <w:r>
              <w:rPr>
                <w:rFonts w:eastAsia="黑体"/>
                <w:kern w:val="0"/>
                <w:sz w:val="24"/>
              </w:rPr>
              <w:t>项目个数</w:t>
            </w:r>
          </w:p>
        </w:tc>
        <w:tc>
          <w:tcPr>
            <w:tcW w:w="1701" w:type="dxa"/>
            <w:tcBorders>
              <w:left w:val="single" w:color="auto" w:sz="4" w:space="0"/>
              <w:right w:val="single" w:color="auto" w:sz="4" w:space="0"/>
            </w:tcBorders>
            <w:vAlign w:val="center"/>
          </w:tcPr>
          <w:p>
            <w:pPr>
              <w:jc w:val="center"/>
              <w:rPr>
                <w:rFonts w:eastAsia="黑体"/>
                <w:kern w:val="0"/>
                <w:sz w:val="24"/>
              </w:rPr>
            </w:pPr>
            <w:r>
              <w:rPr>
                <w:rFonts w:eastAsia="黑体"/>
                <w:kern w:val="0"/>
                <w:sz w:val="24"/>
              </w:rPr>
              <w:t>年度计划投资</w:t>
            </w:r>
          </w:p>
        </w:tc>
        <w:tc>
          <w:tcPr>
            <w:tcW w:w="1843" w:type="dxa"/>
            <w:tcBorders>
              <w:top w:val="single" w:color="auto" w:sz="4" w:space="0"/>
              <w:left w:val="single" w:color="auto" w:sz="4" w:space="0"/>
              <w:right w:val="single" w:color="auto" w:sz="4" w:space="0"/>
            </w:tcBorders>
            <w:vAlign w:val="center"/>
          </w:tcPr>
          <w:p>
            <w:pPr>
              <w:jc w:val="center"/>
              <w:rPr>
                <w:rFonts w:eastAsia="黑体"/>
                <w:kern w:val="0"/>
                <w:sz w:val="24"/>
              </w:rPr>
            </w:pPr>
            <w:r>
              <w:rPr>
                <w:rFonts w:eastAsia="黑体"/>
                <w:kern w:val="0"/>
                <w:sz w:val="24"/>
              </w:rPr>
              <w:t>完成投资</w:t>
            </w:r>
          </w:p>
        </w:tc>
        <w:tc>
          <w:tcPr>
            <w:tcW w:w="1775" w:type="dxa"/>
            <w:tcBorders>
              <w:top w:val="single" w:color="auto" w:sz="4" w:space="0"/>
              <w:left w:val="single" w:color="auto" w:sz="4" w:space="0"/>
              <w:right w:val="single" w:color="auto" w:sz="4" w:space="0"/>
            </w:tcBorders>
            <w:vAlign w:val="center"/>
          </w:tcPr>
          <w:p>
            <w:pPr>
              <w:jc w:val="center"/>
              <w:rPr>
                <w:rFonts w:eastAsia="黑体"/>
                <w:kern w:val="0"/>
                <w:sz w:val="24"/>
              </w:rPr>
            </w:pPr>
            <w:r>
              <w:rPr>
                <w:rFonts w:eastAsia="黑体"/>
                <w:kern w:val="0"/>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鹿城区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57.30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龙湾区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98.37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瓯海区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42.39</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洞头区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14.01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5</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乐清市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75.78</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6</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瑞安市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69.15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7</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永嘉县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74.13</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文成县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17.30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9</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平阳县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38.89</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泰顺县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13.63</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苍南县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48.06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瓯江口</w:t>
            </w:r>
          </w:p>
          <w:p>
            <w:pPr>
              <w:spacing w:line="280" w:lineRule="exact"/>
              <w:jc w:val="center"/>
              <w:rPr>
                <w:rFonts w:eastAsia="仿宋_GB2312"/>
                <w:kern w:val="0"/>
                <w:sz w:val="24"/>
              </w:rPr>
            </w:pPr>
            <w:r>
              <w:rPr>
                <w:rFonts w:eastAsia="仿宋_GB2312"/>
                <w:kern w:val="0"/>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25.55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浙南</w:t>
            </w:r>
          </w:p>
          <w:p>
            <w:pPr>
              <w:spacing w:line="280" w:lineRule="exact"/>
              <w:jc w:val="center"/>
              <w:rPr>
                <w:rFonts w:eastAsia="仿宋_GB2312"/>
                <w:kern w:val="0"/>
                <w:sz w:val="24"/>
              </w:rPr>
            </w:pPr>
            <w:r>
              <w:rPr>
                <w:rFonts w:eastAsia="仿宋_GB2312"/>
                <w:kern w:val="0"/>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21.04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hint="eastAsia" w:eastAsia="仿宋_GB2312"/>
                <w:kern w:val="0"/>
                <w:sz w:val="24"/>
              </w:rPr>
              <w:t>县（市、区）小计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595.60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 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市直单位</w:t>
            </w:r>
            <w:r>
              <w:rPr>
                <w:rFonts w:hint="eastAsia" w:eastAsia="仿宋_GB2312"/>
                <w:kern w:val="0"/>
                <w:sz w:val="24"/>
              </w:rPr>
              <w:t>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309.04</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全市</w:t>
            </w:r>
            <w:r>
              <w:rPr>
                <w:rFonts w:eastAsia="仿宋_GB2312"/>
                <w:b/>
                <w:kern w:val="0"/>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
                <w:kern w:val="0"/>
                <w:sz w:val="24"/>
              </w:rPr>
            </w:pPr>
            <w:r>
              <w:rPr>
                <w:rFonts w:hint="eastAsia" w:eastAsia="仿宋_GB2312"/>
                <w:b/>
                <w:kern w:val="0"/>
                <w:sz w:val="24"/>
              </w:rPr>
              <w:t>904.64</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640"/>
              </w:tabs>
              <w:spacing w:line="300" w:lineRule="exact"/>
              <w:jc w:val="center"/>
              <w:rPr>
                <w:rFonts w:eastAsia="仿宋_GB2312"/>
                <w:b/>
                <w:kern w:val="0"/>
                <w:sz w:val="24"/>
              </w:rPr>
            </w:pPr>
            <w:r>
              <w:rPr>
                <w:rFonts w:hint="eastAsia" w:eastAsia="仿宋_GB2312"/>
                <w:b/>
                <w:kern w:val="0"/>
                <w:sz w:val="24"/>
              </w:rPr>
              <w:t>108.8</w:t>
            </w:r>
          </w:p>
        </w:tc>
      </w:tr>
    </w:tbl>
    <w:p>
      <w:pPr>
        <w:tabs>
          <w:tab w:val="left" w:pos="8640"/>
        </w:tabs>
        <w:spacing w:line="500" w:lineRule="exact"/>
        <w:ind w:firstLine="7560" w:firstLineChars="3150"/>
        <w:rPr>
          <w:rFonts w:eastAsia="楷体_GB2312"/>
          <w:kern w:val="0"/>
          <w:sz w:val="24"/>
        </w:rPr>
      </w:pPr>
    </w:p>
    <w:p>
      <w:pPr>
        <w:snapToGrid w:val="0"/>
        <w:spacing w:line="360" w:lineRule="exact"/>
        <w:rPr>
          <w:rFonts w:eastAsia="黑体"/>
          <w:kern w:val="0"/>
          <w:sz w:val="32"/>
          <w:szCs w:val="32"/>
        </w:rPr>
      </w:pPr>
      <w:r>
        <w:rPr>
          <w:rFonts w:eastAsia="黑体"/>
          <w:kern w:val="0"/>
          <w:sz w:val="32"/>
          <w:szCs w:val="32"/>
        </w:rPr>
        <w:br w:type="page"/>
      </w:r>
      <w:r>
        <w:rPr>
          <w:rFonts w:hint="eastAsia" w:eastAsia="黑体"/>
          <w:kern w:val="0"/>
          <w:sz w:val="32"/>
          <w:szCs w:val="32"/>
        </w:rPr>
        <w:t>附件3</w:t>
      </w:r>
    </w:p>
    <w:p>
      <w:pPr>
        <w:tabs>
          <w:tab w:val="left" w:pos="8640"/>
        </w:tabs>
        <w:spacing w:before="120" w:beforeLines="50" w:line="600" w:lineRule="exact"/>
        <w:jc w:val="center"/>
        <w:rPr>
          <w:rFonts w:eastAsia="方正小标宋简体"/>
          <w:kern w:val="0"/>
          <w:sz w:val="44"/>
          <w:szCs w:val="44"/>
        </w:rPr>
      </w:pPr>
      <w:r>
        <w:rPr>
          <w:rFonts w:hint="eastAsia" w:eastAsia="方正小标宋简体"/>
          <w:kern w:val="0"/>
          <w:sz w:val="36"/>
          <w:szCs w:val="36"/>
        </w:rPr>
        <w:t>2018年5亿元以上重大项目</w:t>
      </w:r>
      <w:r>
        <w:rPr>
          <w:rFonts w:eastAsia="方正小标宋简体"/>
          <w:kern w:val="0"/>
          <w:sz w:val="36"/>
          <w:szCs w:val="36"/>
        </w:rPr>
        <w:t>分区域完成情况表</w:t>
      </w:r>
      <w:r>
        <w:rPr>
          <w:rFonts w:hint="eastAsia" w:eastAsia="楷体_GB2312"/>
          <w:kern w:val="0"/>
          <w:sz w:val="32"/>
          <w:szCs w:val="32"/>
        </w:rPr>
        <w:t>（1-11月）</w:t>
      </w:r>
    </w:p>
    <w:p>
      <w:pPr>
        <w:tabs>
          <w:tab w:val="left" w:pos="8640"/>
        </w:tabs>
        <w:spacing w:line="500" w:lineRule="exact"/>
        <w:ind w:firstLine="7560" w:firstLineChars="3150"/>
        <w:rPr>
          <w:rFonts w:eastAsia="楷体_GB2312"/>
          <w:kern w:val="0"/>
          <w:sz w:val="24"/>
        </w:rPr>
      </w:pPr>
      <w:r>
        <w:rPr>
          <w:rFonts w:eastAsia="楷体_GB2312"/>
          <w:kern w:val="0"/>
          <w:sz w:val="24"/>
        </w:rPr>
        <w:t>单位：亿元、%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44"/>
        <w:gridCol w:w="851"/>
        <w:gridCol w:w="851"/>
        <w:gridCol w:w="691"/>
        <w:gridCol w:w="850"/>
        <w:gridCol w:w="851"/>
        <w:gridCol w:w="910"/>
        <w:gridCol w:w="933"/>
        <w:gridCol w:w="99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restart"/>
            <w:vAlign w:val="center"/>
          </w:tcPr>
          <w:p>
            <w:pPr>
              <w:spacing w:line="240" w:lineRule="exact"/>
              <w:jc w:val="center"/>
              <w:rPr>
                <w:rFonts w:eastAsia="黑体"/>
                <w:kern w:val="0"/>
                <w:szCs w:val="21"/>
              </w:rPr>
            </w:pPr>
            <w:r>
              <w:rPr>
                <w:rFonts w:eastAsia="黑体"/>
                <w:kern w:val="0"/>
                <w:szCs w:val="21"/>
              </w:rPr>
              <w:t>单位</w:t>
            </w:r>
          </w:p>
        </w:tc>
        <w:tc>
          <w:tcPr>
            <w:tcW w:w="744" w:type="dxa"/>
            <w:vMerge w:val="restart"/>
            <w:vAlign w:val="center"/>
          </w:tcPr>
          <w:p>
            <w:pPr>
              <w:spacing w:line="240" w:lineRule="exact"/>
              <w:jc w:val="center"/>
              <w:rPr>
                <w:rFonts w:eastAsia="黑体"/>
                <w:kern w:val="0"/>
                <w:szCs w:val="21"/>
              </w:rPr>
            </w:pPr>
            <w:r>
              <w:rPr>
                <w:rFonts w:eastAsia="黑体"/>
                <w:kern w:val="0"/>
                <w:szCs w:val="21"/>
              </w:rPr>
              <w:t>项目个数</w:t>
            </w:r>
          </w:p>
        </w:tc>
        <w:tc>
          <w:tcPr>
            <w:tcW w:w="851" w:type="dxa"/>
            <w:vMerge w:val="restart"/>
            <w:vAlign w:val="center"/>
          </w:tcPr>
          <w:p>
            <w:pPr>
              <w:spacing w:line="240" w:lineRule="exact"/>
              <w:jc w:val="center"/>
              <w:rPr>
                <w:rFonts w:eastAsia="黑体"/>
                <w:kern w:val="0"/>
                <w:szCs w:val="21"/>
              </w:rPr>
            </w:pPr>
            <w:r>
              <w:rPr>
                <w:rFonts w:eastAsia="黑体"/>
                <w:kern w:val="0"/>
                <w:szCs w:val="21"/>
              </w:rPr>
              <w:t>年度计划投资</w:t>
            </w:r>
          </w:p>
        </w:tc>
        <w:tc>
          <w:tcPr>
            <w:tcW w:w="851" w:type="dxa"/>
            <w:vMerge w:val="restart"/>
            <w:vAlign w:val="center"/>
          </w:tcPr>
          <w:p>
            <w:pPr>
              <w:spacing w:line="240" w:lineRule="exact"/>
              <w:jc w:val="center"/>
              <w:rPr>
                <w:rFonts w:eastAsia="黑体"/>
                <w:kern w:val="0"/>
                <w:szCs w:val="21"/>
              </w:rPr>
            </w:pPr>
            <w:r>
              <w:rPr>
                <w:rFonts w:eastAsia="黑体"/>
                <w:kern w:val="0"/>
                <w:szCs w:val="21"/>
              </w:rPr>
              <w:t>完成</w:t>
            </w:r>
          </w:p>
          <w:p>
            <w:pPr>
              <w:spacing w:line="240" w:lineRule="exact"/>
              <w:jc w:val="center"/>
              <w:rPr>
                <w:rFonts w:eastAsia="黑体"/>
                <w:kern w:val="0"/>
                <w:szCs w:val="21"/>
              </w:rPr>
            </w:pPr>
            <w:r>
              <w:rPr>
                <w:rFonts w:eastAsia="黑体"/>
                <w:kern w:val="0"/>
                <w:szCs w:val="21"/>
              </w:rPr>
              <w:t>投资</w:t>
            </w:r>
          </w:p>
        </w:tc>
        <w:tc>
          <w:tcPr>
            <w:tcW w:w="691" w:type="dxa"/>
            <w:vMerge w:val="restart"/>
            <w:tcBorders>
              <w:right w:val="double" w:color="auto" w:sz="6" w:space="0"/>
            </w:tcBorders>
            <w:vAlign w:val="center"/>
          </w:tcPr>
          <w:p>
            <w:pPr>
              <w:spacing w:line="240" w:lineRule="exact"/>
              <w:jc w:val="center"/>
              <w:rPr>
                <w:rFonts w:eastAsia="黑体"/>
                <w:kern w:val="0"/>
                <w:szCs w:val="21"/>
              </w:rPr>
            </w:pPr>
            <w:r>
              <w:rPr>
                <w:rFonts w:eastAsia="黑体"/>
                <w:kern w:val="0"/>
                <w:szCs w:val="21"/>
              </w:rPr>
              <w:t>投资完成率</w:t>
            </w:r>
          </w:p>
        </w:tc>
        <w:tc>
          <w:tcPr>
            <w:tcW w:w="5446" w:type="dxa"/>
            <w:gridSpan w:val="6"/>
            <w:tcBorders>
              <w:left w:val="double" w:color="auto" w:sz="6" w:space="0"/>
            </w:tcBorders>
            <w:vAlign w:val="center"/>
          </w:tcPr>
          <w:p>
            <w:pPr>
              <w:spacing w:line="240" w:lineRule="exact"/>
              <w:jc w:val="center"/>
              <w:rPr>
                <w:rFonts w:eastAsia="黑体"/>
                <w:kern w:val="0"/>
                <w:szCs w:val="21"/>
              </w:rPr>
            </w:pPr>
            <w:r>
              <w:rPr>
                <w:rFonts w:hint="eastAsia" w:eastAsia="黑体"/>
                <w:kern w:val="0"/>
                <w:szCs w:val="21"/>
              </w:rPr>
              <w:t>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kern w:val="0"/>
                <w:szCs w:val="21"/>
              </w:rPr>
            </w:pPr>
          </w:p>
        </w:tc>
        <w:tc>
          <w:tcPr>
            <w:tcW w:w="744" w:type="dxa"/>
            <w:vMerge w:val="continue"/>
            <w:vAlign w:val="center"/>
          </w:tcPr>
          <w:p>
            <w:pPr>
              <w:spacing w:line="240" w:lineRule="exact"/>
              <w:jc w:val="center"/>
              <w:rPr>
                <w:rFonts w:eastAsia="黑体"/>
                <w:kern w:val="0"/>
                <w:szCs w:val="21"/>
              </w:rPr>
            </w:pPr>
          </w:p>
        </w:tc>
        <w:tc>
          <w:tcPr>
            <w:tcW w:w="851" w:type="dxa"/>
            <w:vMerge w:val="continue"/>
            <w:vAlign w:val="center"/>
          </w:tcPr>
          <w:p>
            <w:pPr>
              <w:spacing w:line="240" w:lineRule="exact"/>
              <w:jc w:val="center"/>
              <w:rPr>
                <w:rFonts w:eastAsia="黑体"/>
                <w:kern w:val="0"/>
                <w:szCs w:val="21"/>
              </w:rPr>
            </w:pPr>
          </w:p>
        </w:tc>
        <w:tc>
          <w:tcPr>
            <w:tcW w:w="851" w:type="dxa"/>
            <w:vMerge w:val="continue"/>
            <w:vAlign w:val="center"/>
          </w:tcPr>
          <w:p>
            <w:pPr>
              <w:spacing w:line="240" w:lineRule="exact"/>
              <w:jc w:val="center"/>
              <w:rPr>
                <w:rFonts w:eastAsia="黑体"/>
                <w:kern w:val="0"/>
                <w:szCs w:val="21"/>
              </w:rPr>
            </w:pPr>
          </w:p>
        </w:tc>
        <w:tc>
          <w:tcPr>
            <w:tcW w:w="691" w:type="dxa"/>
            <w:vMerge w:val="continue"/>
            <w:tcBorders>
              <w:right w:val="double" w:color="auto" w:sz="6" w:space="0"/>
            </w:tcBorders>
            <w:vAlign w:val="center"/>
          </w:tcPr>
          <w:p>
            <w:pPr>
              <w:spacing w:line="240" w:lineRule="exact"/>
              <w:jc w:val="center"/>
              <w:rPr>
                <w:rFonts w:eastAsia="黑体"/>
                <w:kern w:val="0"/>
                <w:szCs w:val="21"/>
              </w:rPr>
            </w:pPr>
          </w:p>
        </w:tc>
        <w:tc>
          <w:tcPr>
            <w:tcW w:w="850" w:type="dxa"/>
            <w:vMerge w:val="restart"/>
            <w:tcBorders>
              <w:left w:val="double" w:color="auto" w:sz="6" w:space="0"/>
            </w:tcBorders>
            <w:vAlign w:val="center"/>
          </w:tcPr>
          <w:p>
            <w:pPr>
              <w:spacing w:line="240" w:lineRule="exact"/>
              <w:jc w:val="center"/>
              <w:rPr>
                <w:rFonts w:eastAsia="黑体"/>
                <w:kern w:val="0"/>
                <w:szCs w:val="21"/>
              </w:rPr>
            </w:pPr>
            <w:r>
              <w:rPr>
                <w:rFonts w:eastAsia="黑体"/>
                <w:kern w:val="0"/>
                <w:szCs w:val="21"/>
              </w:rPr>
              <w:t>完成</w:t>
            </w:r>
          </w:p>
          <w:p>
            <w:pPr>
              <w:spacing w:line="240" w:lineRule="exact"/>
              <w:jc w:val="center"/>
              <w:rPr>
                <w:rFonts w:eastAsia="黑体"/>
                <w:kern w:val="0"/>
                <w:szCs w:val="21"/>
              </w:rPr>
            </w:pPr>
            <w:r>
              <w:rPr>
                <w:rFonts w:eastAsia="黑体"/>
                <w:kern w:val="0"/>
                <w:szCs w:val="21"/>
              </w:rPr>
              <w:t>投资</w:t>
            </w:r>
          </w:p>
        </w:tc>
        <w:tc>
          <w:tcPr>
            <w:tcW w:w="851" w:type="dxa"/>
            <w:vMerge w:val="restart"/>
            <w:vAlign w:val="center"/>
          </w:tcPr>
          <w:p>
            <w:pPr>
              <w:spacing w:line="240" w:lineRule="exact"/>
              <w:jc w:val="center"/>
              <w:rPr>
                <w:rFonts w:eastAsia="黑体"/>
                <w:kern w:val="0"/>
                <w:szCs w:val="21"/>
              </w:rPr>
            </w:pPr>
            <w:r>
              <w:rPr>
                <w:rFonts w:hint="eastAsia" w:eastAsia="黑体"/>
                <w:kern w:val="0"/>
                <w:szCs w:val="21"/>
              </w:rPr>
              <w:t>完成率</w:t>
            </w:r>
          </w:p>
        </w:tc>
        <w:tc>
          <w:tcPr>
            <w:tcW w:w="1843" w:type="dxa"/>
            <w:gridSpan w:val="2"/>
            <w:vAlign w:val="center"/>
          </w:tcPr>
          <w:p>
            <w:pPr>
              <w:spacing w:line="240" w:lineRule="exact"/>
              <w:jc w:val="center"/>
              <w:rPr>
                <w:rFonts w:eastAsia="仿宋_GB2312"/>
                <w:kern w:val="0"/>
                <w:szCs w:val="21"/>
              </w:rPr>
            </w:pPr>
            <w:r>
              <w:rPr>
                <w:rFonts w:hint="eastAsia" w:eastAsia="仿宋_GB2312"/>
                <w:kern w:val="0"/>
                <w:szCs w:val="21"/>
              </w:rPr>
              <w:t>工业项目</w:t>
            </w:r>
          </w:p>
        </w:tc>
        <w:tc>
          <w:tcPr>
            <w:tcW w:w="1902" w:type="dxa"/>
            <w:gridSpan w:val="2"/>
            <w:vAlign w:val="center"/>
          </w:tcPr>
          <w:p>
            <w:pPr>
              <w:spacing w:line="240" w:lineRule="exact"/>
              <w:jc w:val="center"/>
              <w:rPr>
                <w:rFonts w:eastAsia="仿宋_GB2312"/>
                <w:kern w:val="0"/>
                <w:szCs w:val="21"/>
              </w:rPr>
            </w:pPr>
            <w:r>
              <w:rPr>
                <w:rFonts w:hint="eastAsia" w:eastAsia="仿宋_GB2312"/>
                <w:kern w:val="0"/>
                <w:szCs w:val="21"/>
              </w:rPr>
              <w:t>服务业项目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kern w:val="0"/>
                <w:sz w:val="24"/>
              </w:rPr>
            </w:pPr>
          </w:p>
        </w:tc>
        <w:tc>
          <w:tcPr>
            <w:tcW w:w="744" w:type="dxa"/>
            <w:vMerge w:val="continue"/>
            <w:vAlign w:val="center"/>
          </w:tcPr>
          <w:p>
            <w:pPr>
              <w:spacing w:line="240" w:lineRule="exact"/>
              <w:jc w:val="center"/>
              <w:rPr>
                <w:rFonts w:eastAsia="黑体"/>
                <w:kern w:val="0"/>
                <w:sz w:val="24"/>
              </w:rPr>
            </w:pPr>
          </w:p>
        </w:tc>
        <w:tc>
          <w:tcPr>
            <w:tcW w:w="851" w:type="dxa"/>
            <w:vMerge w:val="continue"/>
            <w:vAlign w:val="center"/>
          </w:tcPr>
          <w:p>
            <w:pPr>
              <w:spacing w:line="240" w:lineRule="exact"/>
              <w:jc w:val="center"/>
              <w:rPr>
                <w:rFonts w:eastAsia="仿宋_GB2312"/>
                <w:kern w:val="0"/>
                <w:szCs w:val="21"/>
              </w:rPr>
            </w:pPr>
          </w:p>
        </w:tc>
        <w:tc>
          <w:tcPr>
            <w:tcW w:w="851" w:type="dxa"/>
            <w:vMerge w:val="continue"/>
            <w:vAlign w:val="center"/>
          </w:tcPr>
          <w:p>
            <w:pPr>
              <w:spacing w:line="240" w:lineRule="exact"/>
              <w:jc w:val="center"/>
              <w:rPr>
                <w:rFonts w:eastAsia="仿宋_GB2312"/>
                <w:kern w:val="0"/>
                <w:szCs w:val="21"/>
              </w:rPr>
            </w:pPr>
          </w:p>
        </w:tc>
        <w:tc>
          <w:tcPr>
            <w:tcW w:w="691" w:type="dxa"/>
            <w:vMerge w:val="continue"/>
            <w:tcBorders>
              <w:right w:val="double" w:color="auto" w:sz="6" w:space="0"/>
            </w:tcBorders>
            <w:vAlign w:val="center"/>
          </w:tcPr>
          <w:p>
            <w:pPr>
              <w:spacing w:line="240" w:lineRule="exact"/>
              <w:jc w:val="center"/>
              <w:rPr>
                <w:rFonts w:eastAsia="仿宋_GB2312"/>
                <w:kern w:val="0"/>
                <w:szCs w:val="21"/>
              </w:rPr>
            </w:pPr>
          </w:p>
        </w:tc>
        <w:tc>
          <w:tcPr>
            <w:tcW w:w="850" w:type="dxa"/>
            <w:vMerge w:val="continue"/>
            <w:tcBorders>
              <w:left w:val="double" w:color="auto" w:sz="6" w:space="0"/>
            </w:tcBorders>
            <w:vAlign w:val="center"/>
          </w:tcPr>
          <w:p>
            <w:pPr>
              <w:spacing w:line="240" w:lineRule="exact"/>
              <w:jc w:val="center"/>
              <w:rPr>
                <w:rFonts w:eastAsia="黑体"/>
                <w:kern w:val="0"/>
                <w:szCs w:val="21"/>
              </w:rPr>
            </w:pPr>
          </w:p>
        </w:tc>
        <w:tc>
          <w:tcPr>
            <w:tcW w:w="851" w:type="dxa"/>
            <w:vMerge w:val="continue"/>
            <w:vAlign w:val="center"/>
          </w:tcPr>
          <w:p>
            <w:pPr>
              <w:spacing w:line="240" w:lineRule="exact"/>
              <w:jc w:val="center"/>
              <w:rPr>
                <w:rFonts w:eastAsia="黑体"/>
                <w:kern w:val="0"/>
                <w:szCs w:val="21"/>
              </w:rPr>
            </w:pPr>
          </w:p>
        </w:tc>
        <w:tc>
          <w:tcPr>
            <w:tcW w:w="910" w:type="dxa"/>
            <w:vAlign w:val="center"/>
          </w:tcPr>
          <w:p>
            <w:pPr>
              <w:spacing w:line="240" w:lineRule="exact"/>
              <w:jc w:val="center"/>
              <w:rPr>
                <w:rFonts w:eastAsia="仿宋_GB2312"/>
                <w:kern w:val="0"/>
                <w:szCs w:val="21"/>
              </w:rPr>
            </w:pPr>
            <w:r>
              <w:rPr>
                <w:rFonts w:hint="eastAsia" w:eastAsia="仿宋_GB2312"/>
                <w:kern w:val="0"/>
                <w:szCs w:val="21"/>
              </w:rPr>
              <w:t>完成投资</w:t>
            </w:r>
          </w:p>
        </w:tc>
        <w:tc>
          <w:tcPr>
            <w:tcW w:w="933" w:type="dxa"/>
            <w:vAlign w:val="center"/>
          </w:tcPr>
          <w:p>
            <w:pPr>
              <w:spacing w:line="240" w:lineRule="exact"/>
              <w:jc w:val="center"/>
              <w:rPr>
                <w:rFonts w:eastAsia="仿宋_GB2312"/>
                <w:kern w:val="0"/>
                <w:szCs w:val="21"/>
              </w:rPr>
            </w:pPr>
            <w:r>
              <w:rPr>
                <w:rFonts w:hint="eastAsia" w:eastAsia="仿宋_GB2312"/>
                <w:kern w:val="0"/>
                <w:szCs w:val="21"/>
              </w:rPr>
              <w:t>完成率</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完成投资</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鹿城区</w:t>
            </w:r>
          </w:p>
        </w:tc>
        <w:tc>
          <w:tcPr>
            <w:tcW w:w="744" w:type="dxa"/>
            <w:vAlign w:val="center"/>
          </w:tcPr>
          <w:p>
            <w:pPr>
              <w:spacing w:line="240" w:lineRule="exact"/>
              <w:jc w:val="center"/>
              <w:rPr>
                <w:rFonts w:eastAsia="仿宋_GB2312"/>
                <w:kern w:val="0"/>
                <w:szCs w:val="21"/>
              </w:rPr>
            </w:pPr>
            <w:r>
              <w:rPr>
                <w:rFonts w:eastAsia="仿宋_GB2312"/>
                <w:kern w:val="0"/>
                <w:szCs w:val="21"/>
              </w:rPr>
              <w:t>19</w:t>
            </w:r>
          </w:p>
        </w:tc>
        <w:tc>
          <w:tcPr>
            <w:tcW w:w="851" w:type="dxa"/>
            <w:vAlign w:val="center"/>
          </w:tcPr>
          <w:p>
            <w:pPr>
              <w:spacing w:line="240" w:lineRule="exact"/>
              <w:jc w:val="center"/>
              <w:rPr>
                <w:rFonts w:eastAsia="仿宋_GB2312"/>
                <w:kern w:val="0"/>
                <w:szCs w:val="21"/>
              </w:rPr>
            </w:pPr>
            <w:r>
              <w:rPr>
                <w:rFonts w:eastAsia="仿宋_GB2312"/>
                <w:kern w:val="0"/>
                <w:szCs w:val="21"/>
              </w:rPr>
              <w:t>30.26</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50.18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165.8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7.84</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146.5</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7.84</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龙湾区</w:t>
            </w:r>
          </w:p>
        </w:tc>
        <w:tc>
          <w:tcPr>
            <w:tcW w:w="744" w:type="dxa"/>
            <w:vAlign w:val="center"/>
          </w:tcPr>
          <w:p>
            <w:pPr>
              <w:spacing w:line="240" w:lineRule="exact"/>
              <w:jc w:val="center"/>
              <w:rPr>
                <w:rFonts w:eastAsia="仿宋_GB2312"/>
                <w:kern w:val="0"/>
                <w:szCs w:val="21"/>
              </w:rPr>
            </w:pPr>
            <w:r>
              <w:rPr>
                <w:rFonts w:eastAsia="仿宋_GB2312"/>
                <w:kern w:val="0"/>
                <w:szCs w:val="21"/>
              </w:rPr>
              <w:t>22</w:t>
            </w:r>
          </w:p>
        </w:tc>
        <w:tc>
          <w:tcPr>
            <w:tcW w:w="851" w:type="dxa"/>
            <w:vAlign w:val="center"/>
          </w:tcPr>
          <w:p>
            <w:pPr>
              <w:spacing w:line="240" w:lineRule="exact"/>
              <w:jc w:val="center"/>
              <w:rPr>
                <w:rFonts w:eastAsia="仿宋_GB2312"/>
                <w:kern w:val="0"/>
                <w:szCs w:val="21"/>
              </w:rPr>
            </w:pPr>
            <w:r>
              <w:rPr>
                <w:rFonts w:eastAsia="仿宋_GB2312"/>
                <w:kern w:val="0"/>
                <w:szCs w:val="21"/>
              </w:rPr>
              <w:t>75.80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93.12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122.9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32.42</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106.3</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10.01</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133.5</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22.41</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瓯海区</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22.90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24.38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106.5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4.78</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90.1</w:t>
            </w:r>
          </w:p>
        </w:tc>
        <w:tc>
          <w:tcPr>
            <w:tcW w:w="910" w:type="dxa"/>
            <w:vAlign w:val="center"/>
          </w:tcPr>
          <w:p>
            <w:pPr>
              <w:spacing w:line="240" w:lineRule="exact"/>
              <w:jc w:val="center"/>
              <w:rPr>
                <w:kern w:val="0"/>
                <w:szCs w:val="21"/>
              </w:rPr>
            </w:pPr>
            <w:r>
              <w:rPr>
                <w:rFonts w:hint="eastAsia" w:cs="Calibri"/>
                <w:color w:val="000000"/>
                <w:kern w:val="0"/>
                <w:szCs w:val="21"/>
              </w:rPr>
              <w:t>—</w:t>
            </w:r>
          </w:p>
        </w:tc>
        <w:tc>
          <w:tcPr>
            <w:tcW w:w="933" w:type="dxa"/>
            <w:vAlign w:val="center"/>
          </w:tcPr>
          <w:p>
            <w:pPr>
              <w:spacing w:line="240" w:lineRule="exact"/>
              <w:jc w:val="center"/>
              <w:rPr>
                <w:kern w:val="0"/>
                <w:szCs w:val="21"/>
              </w:rPr>
            </w:pPr>
            <w:r>
              <w:rPr>
                <w:rFonts w:hint="eastAsia" w:cs="Calibri"/>
                <w:color w:val="000000"/>
                <w:kern w:val="0"/>
                <w:szCs w:val="21"/>
              </w:rPr>
              <w:t>—</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4.78</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洞头区</w:t>
            </w:r>
          </w:p>
        </w:tc>
        <w:tc>
          <w:tcPr>
            <w:tcW w:w="744" w:type="dxa"/>
            <w:vAlign w:val="center"/>
          </w:tcPr>
          <w:p>
            <w:pPr>
              <w:spacing w:line="240" w:lineRule="exact"/>
              <w:jc w:val="center"/>
              <w:rPr>
                <w:rFonts w:eastAsia="仿宋_GB2312"/>
                <w:kern w:val="0"/>
                <w:szCs w:val="21"/>
              </w:rPr>
            </w:pPr>
            <w:r>
              <w:rPr>
                <w:rFonts w:eastAsia="仿宋_GB2312"/>
                <w:kern w:val="0"/>
                <w:szCs w:val="21"/>
              </w:rPr>
              <w:t>4</w:t>
            </w:r>
          </w:p>
        </w:tc>
        <w:tc>
          <w:tcPr>
            <w:tcW w:w="851" w:type="dxa"/>
            <w:vAlign w:val="center"/>
          </w:tcPr>
          <w:p>
            <w:pPr>
              <w:spacing w:line="240" w:lineRule="exact"/>
              <w:jc w:val="center"/>
              <w:rPr>
                <w:rFonts w:eastAsia="仿宋_GB2312"/>
                <w:kern w:val="0"/>
                <w:szCs w:val="21"/>
              </w:rPr>
            </w:pPr>
            <w:r>
              <w:rPr>
                <w:rFonts w:eastAsia="仿宋_GB2312"/>
                <w:kern w:val="0"/>
                <w:szCs w:val="21"/>
              </w:rPr>
              <w:t>5.90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5.45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92.3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2.98</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99.4</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2.98</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99.4</w:t>
            </w:r>
          </w:p>
        </w:tc>
        <w:tc>
          <w:tcPr>
            <w:tcW w:w="992" w:type="dxa"/>
            <w:vAlign w:val="center"/>
          </w:tcPr>
          <w:p>
            <w:pPr>
              <w:spacing w:line="240" w:lineRule="exact"/>
              <w:jc w:val="center"/>
              <w:rPr>
                <w:kern w:val="0"/>
                <w:szCs w:val="21"/>
              </w:rPr>
            </w:pPr>
            <w:r>
              <w:rPr>
                <w:rFonts w:hint="eastAsia" w:cs="Calibri"/>
                <w:color w:val="000000"/>
                <w:kern w:val="0"/>
                <w:szCs w:val="21"/>
              </w:rPr>
              <w:t>—</w:t>
            </w:r>
          </w:p>
        </w:tc>
        <w:tc>
          <w:tcPr>
            <w:tcW w:w="910" w:type="dxa"/>
            <w:vAlign w:val="center"/>
          </w:tcPr>
          <w:p>
            <w:pPr>
              <w:spacing w:line="240" w:lineRule="exact"/>
              <w:jc w:val="center"/>
              <w:rPr>
                <w:kern w:val="0"/>
                <w:szCs w:val="21"/>
              </w:rPr>
            </w:pPr>
            <w:r>
              <w:rPr>
                <w:rFonts w:hint="eastAsia" w:cs="Calibri"/>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乐清市</w:t>
            </w:r>
          </w:p>
        </w:tc>
        <w:tc>
          <w:tcPr>
            <w:tcW w:w="744" w:type="dxa"/>
            <w:vAlign w:val="center"/>
          </w:tcPr>
          <w:p>
            <w:pPr>
              <w:spacing w:line="240" w:lineRule="exact"/>
              <w:jc w:val="center"/>
              <w:rPr>
                <w:rFonts w:eastAsia="仿宋_GB2312"/>
                <w:kern w:val="0"/>
                <w:szCs w:val="21"/>
              </w:rPr>
            </w:pPr>
            <w:r>
              <w:rPr>
                <w:rFonts w:eastAsia="仿宋_GB2312"/>
                <w:kern w:val="0"/>
                <w:szCs w:val="21"/>
              </w:rPr>
              <w:t>21</w:t>
            </w:r>
          </w:p>
        </w:tc>
        <w:tc>
          <w:tcPr>
            <w:tcW w:w="851" w:type="dxa"/>
            <w:vAlign w:val="center"/>
          </w:tcPr>
          <w:p>
            <w:pPr>
              <w:spacing w:line="240" w:lineRule="exact"/>
              <w:jc w:val="center"/>
              <w:rPr>
                <w:rFonts w:eastAsia="仿宋_GB2312"/>
                <w:kern w:val="0"/>
                <w:szCs w:val="21"/>
              </w:rPr>
            </w:pPr>
            <w:r>
              <w:rPr>
                <w:rFonts w:eastAsia="仿宋_GB2312"/>
                <w:kern w:val="0"/>
                <w:szCs w:val="21"/>
              </w:rPr>
              <w:t>52.10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67.29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129.2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50.58</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126.4</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18.09</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129.2</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32.49</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瑞安市</w:t>
            </w:r>
          </w:p>
        </w:tc>
        <w:tc>
          <w:tcPr>
            <w:tcW w:w="744" w:type="dxa"/>
            <w:vAlign w:val="center"/>
          </w:tcPr>
          <w:p>
            <w:pPr>
              <w:spacing w:line="240" w:lineRule="exact"/>
              <w:jc w:val="center"/>
              <w:rPr>
                <w:rFonts w:eastAsia="仿宋_GB2312"/>
                <w:kern w:val="0"/>
                <w:szCs w:val="21"/>
              </w:rPr>
            </w:pPr>
            <w:r>
              <w:rPr>
                <w:rFonts w:eastAsia="仿宋_GB2312"/>
                <w:kern w:val="0"/>
                <w:szCs w:val="21"/>
              </w:rPr>
              <w:t>25</w:t>
            </w:r>
          </w:p>
        </w:tc>
        <w:tc>
          <w:tcPr>
            <w:tcW w:w="851" w:type="dxa"/>
            <w:vAlign w:val="center"/>
          </w:tcPr>
          <w:p>
            <w:pPr>
              <w:spacing w:line="240" w:lineRule="exact"/>
              <w:jc w:val="center"/>
              <w:rPr>
                <w:rFonts w:eastAsia="仿宋_GB2312"/>
                <w:kern w:val="0"/>
                <w:szCs w:val="21"/>
              </w:rPr>
            </w:pPr>
            <w:r>
              <w:rPr>
                <w:rFonts w:eastAsia="仿宋_GB2312"/>
                <w:kern w:val="0"/>
                <w:szCs w:val="21"/>
              </w:rPr>
              <w:t>38.25</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54.23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141.8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24.73</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115.0</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13.95</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94.9</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10.78</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永嘉县</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64.30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71.05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110.5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37.33</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118.5</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1.55</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103.1</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35.78</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文成县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12.90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14.07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109.1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5.60</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130.2</w:t>
            </w:r>
          </w:p>
        </w:tc>
        <w:tc>
          <w:tcPr>
            <w:tcW w:w="910" w:type="dxa"/>
            <w:vAlign w:val="center"/>
          </w:tcPr>
          <w:p>
            <w:pPr>
              <w:spacing w:line="240" w:lineRule="exact"/>
              <w:jc w:val="center"/>
              <w:rPr>
                <w:kern w:val="0"/>
                <w:szCs w:val="21"/>
              </w:rPr>
            </w:pPr>
            <w:r>
              <w:rPr>
                <w:rFonts w:hint="eastAsia" w:cs="Calibri"/>
                <w:color w:val="000000"/>
                <w:kern w:val="0"/>
                <w:szCs w:val="21"/>
              </w:rPr>
              <w:t>—</w:t>
            </w:r>
          </w:p>
        </w:tc>
        <w:tc>
          <w:tcPr>
            <w:tcW w:w="933" w:type="dxa"/>
            <w:vAlign w:val="center"/>
          </w:tcPr>
          <w:p>
            <w:pPr>
              <w:spacing w:line="240" w:lineRule="exact"/>
              <w:jc w:val="center"/>
              <w:rPr>
                <w:kern w:val="0"/>
                <w:szCs w:val="21"/>
              </w:rPr>
            </w:pPr>
            <w:r>
              <w:rPr>
                <w:rFonts w:hint="eastAsia" w:cs="Calibri"/>
                <w:color w:val="000000"/>
                <w:kern w:val="0"/>
                <w:szCs w:val="21"/>
              </w:rPr>
              <w:t>—</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5.60</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平阳县</w:t>
            </w:r>
          </w:p>
        </w:tc>
        <w:tc>
          <w:tcPr>
            <w:tcW w:w="744" w:type="dxa"/>
            <w:vAlign w:val="center"/>
          </w:tcPr>
          <w:p>
            <w:pPr>
              <w:spacing w:line="240" w:lineRule="exact"/>
              <w:jc w:val="center"/>
              <w:rPr>
                <w:rFonts w:eastAsia="仿宋_GB2312"/>
                <w:kern w:val="0"/>
                <w:szCs w:val="21"/>
              </w:rPr>
            </w:pPr>
            <w:r>
              <w:rPr>
                <w:rFonts w:eastAsia="仿宋_GB2312"/>
                <w:kern w:val="0"/>
                <w:szCs w:val="21"/>
              </w:rPr>
              <w:t>12</w:t>
            </w:r>
          </w:p>
        </w:tc>
        <w:tc>
          <w:tcPr>
            <w:tcW w:w="851" w:type="dxa"/>
            <w:vAlign w:val="center"/>
          </w:tcPr>
          <w:p>
            <w:pPr>
              <w:spacing w:line="240" w:lineRule="exact"/>
              <w:jc w:val="center"/>
              <w:rPr>
                <w:rFonts w:eastAsia="仿宋_GB2312"/>
                <w:kern w:val="0"/>
                <w:szCs w:val="21"/>
              </w:rPr>
            </w:pPr>
            <w:r>
              <w:rPr>
                <w:rFonts w:eastAsia="仿宋_GB2312"/>
                <w:kern w:val="0"/>
                <w:szCs w:val="21"/>
              </w:rPr>
              <w:t>24.20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28.23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116.6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4.20</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116.7</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1.16</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192.7</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3.05</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泰顺县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10.30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119.7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0.72</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143.0</w:t>
            </w:r>
          </w:p>
        </w:tc>
        <w:tc>
          <w:tcPr>
            <w:tcW w:w="910" w:type="dxa"/>
            <w:vAlign w:val="center"/>
          </w:tcPr>
          <w:p>
            <w:pPr>
              <w:spacing w:line="240" w:lineRule="exact"/>
              <w:jc w:val="center"/>
              <w:rPr>
                <w:kern w:val="0"/>
                <w:szCs w:val="21"/>
              </w:rPr>
            </w:pPr>
            <w:r>
              <w:rPr>
                <w:rFonts w:hint="eastAsia" w:cs="Calibri"/>
                <w:color w:val="000000"/>
                <w:kern w:val="0"/>
                <w:szCs w:val="21"/>
              </w:rPr>
              <w:t>—</w:t>
            </w:r>
          </w:p>
        </w:tc>
        <w:tc>
          <w:tcPr>
            <w:tcW w:w="933" w:type="dxa"/>
            <w:vAlign w:val="center"/>
          </w:tcPr>
          <w:p>
            <w:pPr>
              <w:spacing w:line="240" w:lineRule="exact"/>
              <w:jc w:val="center"/>
              <w:rPr>
                <w:kern w:val="0"/>
                <w:szCs w:val="21"/>
              </w:rPr>
            </w:pPr>
            <w:r>
              <w:rPr>
                <w:rFonts w:hint="eastAsia" w:cs="Calibri"/>
                <w:color w:val="000000"/>
                <w:kern w:val="0"/>
                <w:szCs w:val="21"/>
              </w:rPr>
              <w:t>—</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0.72</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苍南县</w:t>
            </w:r>
          </w:p>
        </w:tc>
        <w:tc>
          <w:tcPr>
            <w:tcW w:w="744" w:type="dxa"/>
            <w:vAlign w:val="center"/>
          </w:tcPr>
          <w:p>
            <w:pPr>
              <w:spacing w:line="240" w:lineRule="exact"/>
              <w:jc w:val="center"/>
              <w:rPr>
                <w:rFonts w:eastAsia="仿宋_GB2312"/>
                <w:kern w:val="0"/>
                <w:szCs w:val="21"/>
              </w:rPr>
            </w:pPr>
            <w:r>
              <w:rPr>
                <w:rFonts w:eastAsia="仿宋_GB2312"/>
                <w:kern w:val="0"/>
                <w:szCs w:val="21"/>
              </w:rPr>
              <w:t>17</w:t>
            </w:r>
          </w:p>
        </w:tc>
        <w:tc>
          <w:tcPr>
            <w:tcW w:w="851" w:type="dxa"/>
            <w:vAlign w:val="center"/>
          </w:tcPr>
          <w:p>
            <w:pPr>
              <w:spacing w:line="240" w:lineRule="exact"/>
              <w:jc w:val="center"/>
              <w:rPr>
                <w:rFonts w:eastAsia="仿宋_GB2312"/>
                <w:kern w:val="0"/>
                <w:szCs w:val="21"/>
              </w:rPr>
            </w:pPr>
            <w:r>
              <w:rPr>
                <w:rFonts w:eastAsia="仿宋_GB2312"/>
                <w:kern w:val="0"/>
                <w:szCs w:val="21"/>
              </w:rPr>
              <w:t>38.60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46.16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119.6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22.04</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147.9</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16.41</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145.2</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5.63</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瓯江口</w:t>
            </w:r>
          </w:p>
          <w:p>
            <w:pPr>
              <w:spacing w:line="240" w:lineRule="exact"/>
              <w:jc w:val="center"/>
              <w:rPr>
                <w:rFonts w:eastAsia="仿宋_GB2312"/>
                <w:kern w:val="0"/>
                <w:szCs w:val="21"/>
              </w:rPr>
            </w:pPr>
            <w:r>
              <w:rPr>
                <w:rFonts w:eastAsia="仿宋_GB2312"/>
                <w:kern w:val="0"/>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6</w:t>
            </w:r>
          </w:p>
        </w:tc>
        <w:tc>
          <w:tcPr>
            <w:tcW w:w="851" w:type="dxa"/>
            <w:vAlign w:val="center"/>
          </w:tcPr>
          <w:p>
            <w:pPr>
              <w:spacing w:line="240" w:lineRule="exact"/>
              <w:jc w:val="center"/>
              <w:rPr>
                <w:rFonts w:eastAsia="仿宋_GB2312"/>
                <w:kern w:val="0"/>
                <w:szCs w:val="21"/>
              </w:rPr>
            </w:pPr>
            <w:r>
              <w:rPr>
                <w:rFonts w:eastAsia="仿宋_GB2312"/>
                <w:kern w:val="0"/>
                <w:szCs w:val="21"/>
              </w:rPr>
              <w:t>20.30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23.90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117.7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12.72</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195.7</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12.72</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195.7</w:t>
            </w:r>
          </w:p>
        </w:tc>
        <w:tc>
          <w:tcPr>
            <w:tcW w:w="992" w:type="dxa"/>
            <w:vAlign w:val="center"/>
          </w:tcPr>
          <w:p>
            <w:pPr>
              <w:spacing w:line="240" w:lineRule="exact"/>
              <w:jc w:val="center"/>
              <w:rPr>
                <w:kern w:val="0"/>
                <w:szCs w:val="21"/>
              </w:rPr>
            </w:pPr>
            <w:r>
              <w:rPr>
                <w:rFonts w:hint="eastAsia" w:cs="Calibri"/>
                <w:color w:val="000000"/>
                <w:kern w:val="0"/>
                <w:szCs w:val="21"/>
              </w:rPr>
              <w:t>—</w:t>
            </w:r>
          </w:p>
        </w:tc>
        <w:tc>
          <w:tcPr>
            <w:tcW w:w="910" w:type="dxa"/>
            <w:vAlign w:val="center"/>
          </w:tcPr>
          <w:p>
            <w:pPr>
              <w:spacing w:line="240" w:lineRule="exact"/>
              <w:jc w:val="center"/>
              <w:rPr>
                <w:kern w:val="0"/>
                <w:szCs w:val="21"/>
              </w:rPr>
            </w:pPr>
            <w:r>
              <w:rPr>
                <w:rFonts w:hint="eastAsia" w:cs="Calibri"/>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kern w:val="0"/>
                <w:szCs w:val="21"/>
              </w:rPr>
            </w:pPr>
            <w:r>
              <w:rPr>
                <w:rFonts w:eastAsia="仿宋_GB2312"/>
                <w:kern w:val="0"/>
                <w:szCs w:val="21"/>
              </w:rPr>
              <w:t>浙南</w:t>
            </w:r>
          </w:p>
          <w:p>
            <w:pPr>
              <w:spacing w:line="240" w:lineRule="exact"/>
              <w:jc w:val="center"/>
              <w:rPr>
                <w:rFonts w:eastAsia="仿宋_GB2312"/>
                <w:kern w:val="0"/>
                <w:szCs w:val="21"/>
              </w:rPr>
            </w:pPr>
            <w:r>
              <w:rPr>
                <w:rFonts w:eastAsia="仿宋_GB2312"/>
                <w:kern w:val="0"/>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9</w:t>
            </w:r>
          </w:p>
        </w:tc>
        <w:tc>
          <w:tcPr>
            <w:tcW w:w="851" w:type="dxa"/>
            <w:vAlign w:val="center"/>
          </w:tcPr>
          <w:p>
            <w:pPr>
              <w:spacing w:line="240" w:lineRule="exact"/>
              <w:jc w:val="center"/>
              <w:rPr>
                <w:rFonts w:eastAsia="仿宋_GB2312"/>
                <w:kern w:val="0"/>
                <w:szCs w:val="21"/>
              </w:rPr>
            </w:pPr>
            <w:r>
              <w:rPr>
                <w:rFonts w:eastAsia="仿宋_GB2312"/>
                <w:kern w:val="0"/>
                <w:szCs w:val="21"/>
              </w:rPr>
              <w:t>16.50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 xml:space="preserve">18.66 </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113.1 </w:t>
            </w:r>
          </w:p>
        </w:tc>
        <w:tc>
          <w:tcPr>
            <w:tcW w:w="850" w:type="dxa"/>
            <w:tcBorders>
              <w:left w:val="double" w:color="auto" w:sz="6" w:space="0"/>
            </w:tcBorders>
            <w:vAlign w:val="center"/>
          </w:tcPr>
          <w:p>
            <w:pPr>
              <w:spacing w:line="240" w:lineRule="exact"/>
              <w:jc w:val="center"/>
              <w:rPr>
                <w:rFonts w:cs="Calibri"/>
                <w:color w:val="000000"/>
                <w:kern w:val="0"/>
                <w:szCs w:val="21"/>
              </w:rPr>
            </w:pPr>
            <w:r>
              <w:rPr>
                <w:rFonts w:hint="eastAsia" w:cs="Calibri"/>
                <w:color w:val="000000"/>
                <w:kern w:val="0"/>
                <w:szCs w:val="21"/>
              </w:rPr>
              <w:t>8.44</w:t>
            </w:r>
          </w:p>
        </w:tc>
        <w:tc>
          <w:tcPr>
            <w:tcW w:w="851" w:type="dxa"/>
            <w:vAlign w:val="center"/>
          </w:tcPr>
          <w:p>
            <w:pPr>
              <w:spacing w:line="240" w:lineRule="exact"/>
              <w:jc w:val="center"/>
              <w:rPr>
                <w:rFonts w:cs="Calibri"/>
                <w:color w:val="000000"/>
                <w:kern w:val="0"/>
                <w:szCs w:val="21"/>
              </w:rPr>
            </w:pPr>
            <w:r>
              <w:rPr>
                <w:rFonts w:hint="eastAsia" w:cs="Calibri"/>
                <w:color w:val="000000"/>
                <w:kern w:val="0"/>
                <w:szCs w:val="21"/>
              </w:rPr>
              <w:t>89.8</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6.14</w:t>
            </w:r>
          </w:p>
        </w:tc>
        <w:tc>
          <w:tcPr>
            <w:tcW w:w="933" w:type="dxa"/>
            <w:vAlign w:val="center"/>
          </w:tcPr>
          <w:p>
            <w:pPr>
              <w:spacing w:line="240" w:lineRule="exact"/>
              <w:jc w:val="center"/>
              <w:rPr>
                <w:rFonts w:cs="Calibri"/>
                <w:color w:val="000000"/>
                <w:kern w:val="0"/>
                <w:szCs w:val="21"/>
              </w:rPr>
            </w:pPr>
            <w:r>
              <w:rPr>
                <w:rFonts w:hint="eastAsia" w:cs="Calibri"/>
                <w:color w:val="000000"/>
                <w:kern w:val="0"/>
                <w:szCs w:val="21"/>
              </w:rPr>
              <w:t>82.9</w:t>
            </w:r>
          </w:p>
        </w:tc>
        <w:tc>
          <w:tcPr>
            <w:tcW w:w="992" w:type="dxa"/>
            <w:vAlign w:val="center"/>
          </w:tcPr>
          <w:p>
            <w:pPr>
              <w:spacing w:line="240" w:lineRule="exact"/>
              <w:jc w:val="center"/>
              <w:rPr>
                <w:rFonts w:cs="Calibri"/>
                <w:color w:val="000000"/>
                <w:kern w:val="0"/>
                <w:szCs w:val="21"/>
              </w:rPr>
            </w:pPr>
            <w:r>
              <w:rPr>
                <w:rFonts w:hint="eastAsia" w:cs="Calibri"/>
                <w:color w:val="000000"/>
                <w:kern w:val="0"/>
                <w:szCs w:val="21"/>
              </w:rPr>
              <w:t>2.30</w:t>
            </w:r>
          </w:p>
        </w:tc>
        <w:tc>
          <w:tcPr>
            <w:tcW w:w="910" w:type="dxa"/>
            <w:vAlign w:val="center"/>
          </w:tcPr>
          <w:p>
            <w:pPr>
              <w:spacing w:line="240" w:lineRule="exact"/>
              <w:jc w:val="center"/>
              <w:rPr>
                <w:rFonts w:cs="Calibri"/>
                <w:color w:val="000000"/>
                <w:kern w:val="0"/>
                <w:szCs w:val="21"/>
              </w:rPr>
            </w:pPr>
            <w:r>
              <w:rPr>
                <w:rFonts w:hint="eastAsia" w:cs="Calibri"/>
                <w:color w:val="000000"/>
                <w:kern w:val="0"/>
                <w:szCs w:val="21"/>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县（市、区）小计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181</w:t>
            </w:r>
          </w:p>
        </w:tc>
        <w:tc>
          <w:tcPr>
            <w:tcW w:w="851" w:type="dxa"/>
            <w:vAlign w:val="center"/>
          </w:tcPr>
          <w:p>
            <w:pPr>
              <w:spacing w:line="240" w:lineRule="exact"/>
              <w:jc w:val="center"/>
              <w:rPr>
                <w:rFonts w:eastAsia="仿宋_GB2312"/>
                <w:kern w:val="0"/>
                <w:szCs w:val="21"/>
              </w:rPr>
            </w:pPr>
            <w:r>
              <w:rPr>
                <w:rFonts w:eastAsia="仿宋_GB2312"/>
                <w:kern w:val="0"/>
                <w:szCs w:val="21"/>
              </w:rPr>
              <w:t>410.61</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 xml:space="preserve">507.01 </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 xml:space="preserve">123.5 </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214.37</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121.6</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82.99</w:t>
            </w:r>
          </w:p>
        </w:tc>
        <w:tc>
          <w:tcPr>
            <w:tcW w:w="933" w:type="dxa"/>
            <w:vAlign w:val="center"/>
          </w:tcPr>
          <w:p>
            <w:pPr>
              <w:spacing w:line="240" w:lineRule="exact"/>
              <w:jc w:val="center"/>
              <w:rPr>
                <w:rFonts w:eastAsia="仿宋_GB2312"/>
                <w:kern w:val="0"/>
                <w:szCs w:val="21"/>
              </w:rPr>
            </w:pPr>
            <w:r>
              <w:rPr>
                <w:rFonts w:hint="eastAsia" w:eastAsia="仿宋_GB2312"/>
                <w:kern w:val="0"/>
                <w:szCs w:val="21"/>
              </w:rPr>
              <w:t>124.8</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131.38</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kern w:val="0"/>
                <w:szCs w:val="21"/>
              </w:rPr>
            </w:pPr>
            <w:r>
              <w:rPr>
                <w:rFonts w:eastAsia="仿宋_GB2312"/>
                <w:kern w:val="0"/>
                <w:szCs w:val="21"/>
              </w:rPr>
              <w:t>市直单位</w:t>
            </w:r>
            <w:r>
              <w:rPr>
                <w:rFonts w:hint="eastAsia" w:eastAsia="仿宋_GB2312"/>
                <w:kern w:val="0"/>
                <w:szCs w:val="21"/>
              </w:rPr>
              <w:t>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42</w:t>
            </w:r>
          </w:p>
        </w:tc>
        <w:tc>
          <w:tcPr>
            <w:tcW w:w="851" w:type="dxa"/>
            <w:vAlign w:val="center"/>
          </w:tcPr>
          <w:p>
            <w:pPr>
              <w:spacing w:line="240" w:lineRule="exact"/>
              <w:jc w:val="center"/>
              <w:rPr>
                <w:rFonts w:eastAsia="仿宋_GB2312"/>
                <w:kern w:val="0"/>
                <w:szCs w:val="21"/>
              </w:rPr>
            </w:pPr>
            <w:r>
              <w:rPr>
                <w:rFonts w:eastAsia="仿宋_GB2312"/>
                <w:kern w:val="0"/>
                <w:szCs w:val="21"/>
              </w:rPr>
              <w:t>325.10</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287.59</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88.5</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2.18</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101.2</w:t>
            </w:r>
          </w:p>
        </w:tc>
        <w:tc>
          <w:tcPr>
            <w:tcW w:w="910" w:type="dxa"/>
            <w:vAlign w:val="center"/>
          </w:tcPr>
          <w:p>
            <w:pPr>
              <w:spacing w:line="240" w:lineRule="exact"/>
              <w:jc w:val="center"/>
              <w:rPr>
                <w:kern w:val="0"/>
                <w:szCs w:val="21"/>
              </w:rPr>
            </w:pPr>
            <w:r>
              <w:rPr>
                <w:rFonts w:hint="eastAsia" w:cs="Calibri"/>
                <w:color w:val="000000"/>
                <w:kern w:val="0"/>
                <w:szCs w:val="21"/>
              </w:rPr>
              <w:t>—</w:t>
            </w:r>
          </w:p>
        </w:tc>
        <w:tc>
          <w:tcPr>
            <w:tcW w:w="933" w:type="dxa"/>
            <w:vAlign w:val="center"/>
          </w:tcPr>
          <w:p>
            <w:pPr>
              <w:spacing w:line="240" w:lineRule="exact"/>
              <w:jc w:val="center"/>
              <w:rPr>
                <w:kern w:val="0"/>
                <w:szCs w:val="21"/>
              </w:rPr>
            </w:pPr>
            <w:r>
              <w:rPr>
                <w:rFonts w:hint="eastAsia" w:cs="Calibri"/>
                <w:color w:val="000000"/>
                <w:kern w:val="0"/>
                <w:szCs w:val="21"/>
              </w:rPr>
              <w:t>—</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2.18</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全市</w:t>
            </w:r>
            <w:r>
              <w:rPr>
                <w:rFonts w:eastAsia="仿宋_GB2312"/>
                <w:b/>
                <w:kern w:val="0"/>
                <w:szCs w:val="21"/>
              </w:rPr>
              <w:t>合计</w:t>
            </w:r>
          </w:p>
        </w:tc>
        <w:tc>
          <w:tcPr>
            <w:tcW w:w="744" w:type="dxa"/>
            <w:shd w:val="clear" w:color="auto" w:fill="auto"/>
            <w:vAlign w:val="center"/>
          </w:tcPr>
          <w:p>
            <w:pPr>
              <w:spacing w:line="240" w:lineRule="exact"/>
              <w:jc w:val="center"/>
              <w:rPr>
                <w:rFonts w:eastAsia="仿宋_GB2312"/>
                <w:b/>
                <w:kern w:val="0"/>
                <w:szCs w:val="21"/>
              </w:rPr>
            </w:pPr>
            <w:r>
              <w:rPr>
                <w:rFonts w:eastAsia="仿宋_GB2312"/>
                <w:b/>
                <w:kern w:val="0"/>
                <w:szCs w:val="21"/>
              </w:rPr>
              <w:t>223</w:t>
            </w:r>
          </w:p>
        </w:tc>
        <w:tc>
          <w:tcPr>
            <w:tcW w:w="851" w:type="dxa"/>
            <w:vAlign w:val="center"/>
          </w:tcPr>
          <w:p>
            <w:pPr>
              <w:spacing w:line="240" w:lineRule="exact"/>
              <w:jc w:val="center"/>
              <w:rPr>
                <w:rFonts w:eastAsia="仿宋_GB2312"/>
                <w:b/>
                <w:kern w:val="0"/>
                <w:szCs w:val="21"/>
              </w:rPr>
            </w:pPr>
            <w:r>
              <w:rPr>
                <w:rFonts w:eastAsia="仿宋_GB2312"/>
                <w:b/>
                <w:kern w:val="0"/>
                <w:szCs w:val="21"/>
              </w:rPr>
              <w:t>735.71</w:t>
            </w:r>
          </w:p>
        </w:tc>
        <w:tc>
          <w:tcPr>
            <w:tcW w:w="851" w:type="dxa"/>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794.60</w:t>
            </w:r>
          </w:p>
        </w:tc>
        <w:tc>
          <w:tcPr>
            <w:tcW w:w="691" w:type="dxa"/>
            <w:tcBorders>
              <w:right w:val="double" w:color="auto" w:sz="6"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108.0</w:t>
            </w:r>
          </w:p>
        </w:tc>
        <w:tc>
          <w:tcPr>
            <w:tcW w:w="850" w:type="dxa"/>
            <w:tcBorders>
              <w:left w:val="double" w:color="auto" w:sz="6" w:space="0"/>
            </w:tcBorders>
            <w:vAlign w:val="center"/>
          </w:tcPr>
          <w:p>
            <w:pPr>
              <w:spacing w:line="240" w:lineRule="exact"/>
              <w:jc w:val="center"/>
              <w:rPr>
                <w:rFonts w:eastAsia="仿宋_GB2312"/>
                <w:b/>
                <w:kern w:val="0"/>
                <w:szCs w:val="21"/>
              </w:rPr>
            </w:pPr>
            <w:r>
              <w:rPr>
                <w:rFonts w:hint="eastAsia" w:eastAsia="仿宋_GB2312"/>
                <w:b/>
                <w:kern w:val="0"/>
                <w:szCs w:val="21"/>
              </w:rPr>
              <w:t>216.54</w:t>
            </w:r>
          </w:p>
        </w:tc>
        <w:tc>
          <w:tcPr>
            <w:tcW w:w="851" w:type="dxa"/>
            <w:vAlign w:val="center"/>
          </w:tcPr>
          <w:p>
            <w:pPr>
              <w:spacing w:line="240" w:lineRule="exact"/>
              <w:jc w:val="center"/>
              <w:rPr>
                <w:rFonts w:eastAsia="仿宋_GB2312"/>
                <w:b/>
                <w:kern w:val="0"/>
                <w:szCs w:val="21"/>
              </w:rPr>
            </w:pPr>
            <w:r>
              <w:rPr>
                <w:rFonts w:hint="eastAsia" w:eastAsia="仿宋_GB2312"/>
                <w:b/>
                <w:kern w:val="0"/>
                <w:szCs w:val="21"/>
              </w:rPr>
              <w:t>121.3</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82.99</w:t>
            </w:r>
          </w:p>
        </w:tc>
        <w:tc>
          <w:tcPr>
            <w:tcW w:w="933" w:type="dxa"/>
            <w:vAlign w:val="center"/>
          </w:tcPr>
          <w:p>
            <w:pPr>
              <w:spacing w:line="240" w:lineRule="exact"/>
              <w:jc w:val="center"/>
              <w:rPr>
                <w:rFonts w:eastAsia="仿宋_GB2312"/>
                <w:b/>
                <w:kern w:val="0"/>
                <w:szCs w:val="21"/>
              </w:rPr>
            </w:pPr>
            <w:r>
              <w:rPr>
                <w:rFonts w:hint="eastAsia" w:eastAsia="仿宋_GB2312"/>
                <w:b/>
                <w:kern w:val="0"/>
                <w:szCs w:val="21"/>
              </w:rPr>
              <w:t>124.8</w:t>
            </w:r>
          </w:p>
        </w:tc>
        <w:tc>
          <w:tcPr>
            <w:tcW w:w="992" w:type="dxa"/>
            <w:vAlign w:val="center"/>
          </w:tcPr>
          <w:p>
            <w:pPr>
              <w:spacing w:line="240" w:lineRule="exact"/>
              <w:jc w:val="center"/>
              <w:rPr>
                <w:rFonts w:eastAsia="仿宋_GB2312"/>
                <w:b/>
                <w:kern w:val="0"/>
                <w:szCs w:val="21"/>
              </w:rPr>
            </w:pPr>
            <w:r>
              <w:rPr>
                <w:rFonts w:hint="eastAsia" w:eastAsia="仿宋_GB2312"/>
                <w:b/>
                <w:kern w:val="0"/>
                <w:szCs w:val="21"/>
              </w:rPr>
              <w:t>133.55</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119.2</w:t>
            </w:r>
          </w:p>
        </w:tc>
      </w:tr>
    </w:tbl>
    <w:p>
      <w:pPr>
        <w:snapToGrid w:val="0"/>
        <w:spacing w:line="360" w:lineRule="exact"/>
        <w:rPr>
          <w:rFonts w:eastAsia="黑体"/>
          <w:kern w:val="0"/>
          <w:sz w:val="32"/>
          <w:szCs w:val="32"/>
        </w:rPr>
      </w:pPr>
    </w:p>
    <w:p>
      <w:pPr>
        <w:snapToGrid w:val="0"/>
        <w:spacing w:line="360" w:lineRule="exact"/>
        <w:rPr>
          <w:rFonts w:eastAsia="黑体"/>
          <w:kern w:val="0"/>
          <w:sz w:val="32"/>
          <w:szCs w:val="32"/>
        </w:rPr>
      </w:pPr>
    </w:p>
    <w:p>
      <w:pPr>
        <w:snapToGrid w:val="0"/>
        <w:spacing w:after="120" w:afterLines="50" w:line="360" w:lineRule="exact"/>
        <w:rPr>
          <w:rFonts w:eastAsia="黑体"/>
          <w:kern w:val="0"/>
          <w:sz w:val="32"/>
          <w:szCs w:val="32"/>
        </w:rPr>
      </w:pPr>
      <w:r>
        <w:rPr>
          <w:rFonts w:hint="eastAsia" w:eastAsia="黑体"/>
          <w:kern w:val="0"/>
          <w:sz w:val="32"/>
          <w:szCs w:val="32"/>
        </w:rPr>
        <w:t>附件4</w:t>
      </w:r>
    </w:p>
    <w:p>
      <w:pPr>
        <w:snapToGrid w:val="0"/>
        <w:spacing w:after="120" w:afterLines="50" w:line="440" w:lineRule="exact"/>
        <w:jc w:val="center"/>
        <w:rPr>
          <w:rFonts w:eastAsia="楷体_GB2312"/>
          <w:kern w:val="0"/>
          <w:sz w:val="32"/>
          <w:szCs w:val="32"/>
        </w:rPr>
      </w:pPr>
      <w:r>
        <w:rPr>
          <w:rFonts w:hint="eastAsia" w:eastAsia="方正小标宋简体"/>
          <w:kern w:val="0"/>
          <w:sz w:val="36"/>
          <w:szCs w:val="36"/>
        </w:rPr>
        <w:t>2018年市重点建设项目市直单位完成情况表</w:t>
      </w:r>
      <w:r>
        <w:rPr>
          <w:rFonts w:hint="eastAsia" w:eastAsia="楷体_GB2312"/>
          <w:kern w:val="0"/>
          <w:sz w:val="32"/>
          <w:szCs w:val="32"/>
        </w:rPr>
        <w:t>（1-11月）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exact"/>
              <w:jc w:val="center"/>
              <w:rPr>
                <w:rFonts w:eastAsia="黑体"/>
                <w:kern w:val="0"/>
                <w:sz w:val="18"/>
                <w:szCs w:val="18"/>
              </w:rPr>
            </w:pPr>
            <w:r>
              <w:rPr>
                <w:rFonts w:hint="eastAsia" w:eastAsia="黑体"/>
                <w:kern w:val="0"/>
                <w:sz w:val="18"/>
                <w:szCs w:val="18"/>
              </w:rPr>
              <w:t>单位</w:t>
            </w:r>
          </w:p>
        </w:tc>
        <w:tc>
          <w:tcPr>
            <w:tcW w:w="2444" w:type="dxa"/>
            <w:vAlign w:val="center"/>
          </w:tcPr>
          <w:p>
            <w:pPr>
              <w:spacing w:line="240" w:lineRule="exact"/>
              <w:jc w:val="center"/>
              <w:rPr>
                <w:rFonts w:eastAsia="黑体"/>
                <w:kern w:val="0"/>
                <w:sz w:val="18"/>
                <w:szCs w:val="18"/>
              </w:rPr>
            </w:pPr>
            <w:r>
              <w:rPr>
                <w:rFonts w:hint="eastAsia" w:eastAsia="黑体"/>
                <w:kern w:val="0"/>
                <w:sz w:val="18"/>
                <w:szCs w:val="18"/>
              </w:rPr>
              <w:t>项目名称</w:t>
            </w:r>
          </w:p>
        </w:tc>
        <w:tc>
          <w:tcPr>
            <w:tcW w:w="708" w:type="dxa"/>
            <w:tcBorders>
              <w:right w:val="double" w:color="auto" w:sz="4" w:space="0"/>
            </w:tcBorders>
            <w:vAlign w:val="center"/>
          </w:tcPr>
          <w:p>
            <w:pPr>
              <w:spacing w:line="240" w:lineRule="exact"/>
              <w:jc w:val="center"/>
              <w:rPr>
                <w:rFonts w:eastAsia="黑体"/>
                <w:kern w:val="0"/>
                <w:sz w:val="18"/>
                <w:szCs w:val="18"/>
              </w:rPr>
            </w:pPr>
            <w:r>
              <w:rPr>
                <w:rFonts w:hint="eastAsia" w:eastAsia="黑体"/>
                <w:kern w:val="0"/>
                <w:sz w:val="18"/>
                <w:szCs w:val="18"/>
              </w:rPr>
              <w:t>投资</w:t>
            </w:r>
          </w:p>
          <w:p>
            <w:pPr>
              <w:spacing w:line="240" w:lineRule="exact"/>
              <w:jc w:val="center"/>
              <w:rPr>
                <w:rFonts w:eastAsia="黑体"/>
                <w:kern w:val="0"/>
                <w:szCs w:val="21"/>
              </w:rPr>
            </w:pPr>
            <w:r>
              <w:rPr>
                <w:rFonts w:hint="eastAsia" w:eastAsia="黑体"/>
                <w:kern w:val="0"/>
                <w:sz w:val="18"/>
                <w:szCs w:val="18"/>
              </w:rPr>
              <w:t>完成率</w:t>
            </w:r>
          </w:p>
        </w:tc>
        <w:tc>
          <w:tcPr>
            <w:tcW w:w="426" w:type="dxa"/>
            <w:tcBorders>
              <w:left w:val="double" w:color="auto" w:sz="4" w:space="0"/>
            </w:tcBorders>
            <w:vAlign w:val="center"/>
          </w:tcPr>
          <w:p>
            <w:pPr>
              <w:spacing w:line="240" w:lineRule="exact"/>
              <w:jc w:val="center"/>
              <w:rPr>
                <w:rFonts w:eastAsia="黑体"/>
                <w:kern w:val="0"/>
                <w:sz w:val="18"/>
                <w:szCs w:val="18"/>
              </w:rPr>
            </w:pPr>
            <w:r>
              <w:rPr>
                <w:rFonts w:hint="eastAsia" w:eastAsia="黑体"/>
                <w:kern w:val="0"/>
                <w:sz w:val="18"/>
                <w:szCs w:val="18"/>
              </w:rPr>
              <w:t>单位</w:t>
            </w:r>
          </w:p>
        </w:tc>
        <w:tc>
          <w:tcPr>
            <w:tcW w:w="2126" w:type="dxa"/>
            <w:vAlign w:val="center"/>
          </w:tcPr>
          <w:p>
            <w:pPr>
              <w:spacing w:line="240" w:lineRule="exact"/>
              <w:jc w:val="center"/>
              <w:rPr>
                <w:rFonts w:eastAsia="黑体"/>
                <w:kern w:val="0"/>
                <w:sz w:val="18"/>
                <w:szCs w:val="18"/>
              </w:rPr>
            </w:pPr>
            <w:r>
              <w:rPr>
                <w:rFonts w:hint="eastAsia" w:eastAsia="黑体"/>
                <w:kern w:val="0"/>
                <w:sz w:val="18"/>
                <w:szCs w:val="18"/>
              </w:rPr>
              <w:t>项目名称</w:t>
            </w:r>
          </w:p>
        </w:tc>
        <w:tc>
          <w:tcPr>
            <w:tcW w:w="709" w:type="dxa"/>
            <w:tcBorders>
              <w:right w:val="double" w:color="auto" w:sz="4" w:space="0"/>
            </w:tcBorders>
            <w:vAlign w:val="center"/>
          </w:tcPr>
          <w:p>
            <w:pPr>
              <w:spacing w:line="240" w:lineRule="exact"/>
              <w:jc w:val="center"/>
              <w:rPr>
                <w:rFonts w:eastAsia="黑体"/>
                <w:kern w:val="0"/>
                <w:sz w:val="18"/>
                <w:szCs w:val="18"/>
              </w:rPr>
            </w:pPr>
            <w:r>
              <w:rPr>
                <w:rFonts w:hint="eastAsia" w:eastAsia="黑体"/>
                <w:kern w:val="0"/>
                <w:sz w:val="18"/>
                <w:szCs w:val="18"/>
              </w:rPr>
              <w:t>投资</w:t>
            </w:r>
          </w:p>
          <w:p>
            <w:pPr>
              <w:spacing w:line="240" w:lineRule="exact"/>
              <w:jc w:val="center"/>
              <w:rPr>
                <w:rFonts w:eastAsia="黑体"/>
                <w:kern w:val="0"/>
                <w:szCs w:val="21"/>
              </w:rPr>
            </w:pPr>
            <w:r>
              <w:rPr>
                <w:rFonts w:hint="eastAsia" w:eastAsia="黑体"/>
                <w:kern w:val="0"/>
                <w:sz w:val="18"/>
                <w:szCs w:val="18"/>
              </w:rPr>
              <w:t>完成率</w:t>
            </w:r>
          </w:p>
        </w:tc>
        <w:tc>
          <w:tcPr>
            <w:tcW w:w="425" w:type="dxa"/>
            <w:tcBorders>
              <w:left w:val="double" w:color="auto" w:sz="4" w:space="0"/>
            </w:tcBorders>
            <w:vAlign w:val="center"/>
          </w:tcPr>
          <w:p>
            <w:pPr>
              <w:spacing w:line="240" w:lineRule="exact"/>
              <w:jc w:val="center"/>
              <w:rPr>
                <w:rFonts w:eastAsia="黑体"/>
                <w:kern w:val="0"/>
                <w:sz w:val="18"/>
                <w:szCs w:val="18"/>
              </w:rPr>
            </w:pPr>
            <w:r>
              <w:rPr>
                <w:rFonts w:hint="eastAsia" w:eastAsia="黑体"/>
                <w:kern w:val="0"/>
                <w:sz w:val="18"/>
                <w:szCs w:val="18"/>
              </w:rPr>
              <w:t>单位</w:t>
            </w:r>
          </w:p>
        </w:tc>
        <w:tc>
          <w:tcPr>
            <w:tcW w:w="2268" w:type="dxa"/>
            <w:vAlign w:val="center"/>
          </w:tcPr>
          <w:p>
            <w:pPr>
              <w:spacing w:line="240" w:lineRule="exact"/>
              <w:jc w:val="center"/>
              <w:rPr>
                <w:rFonts w:eastAsia="黑体"/>
                <w:kern w:val="0"/>
                <w:sz w:val="18"/>
                <w:szCs w:val="18"/>
              </w:rPr>
            </w:pPr>
            <w:r>
              <w:rPr>
                <w:rFonts w:hint="eastAsia" w:eastAsia="黑体"/>
                <w:kern w:val="0"/>
                <w:sz w:val="18"/>
                <w:szCs w:val="18"/>
              </w:rPr>
              <w:t>项目名称</w:t>
            </w:r>
          </w:p>
        </w:tc>
        <w:tc>
          <w:tcPr>
            <w:tcW w:w="709" w:type="dxa"/>
            <w:vAlign w:val="center"/>
          </w:tcPr>
          <w:p>
            <w:pPr>
              <w:spacing w:line="240" w:lineRule="exact"/>
              <w:jc w:val="center"/>
              <w:rPr>
                <w:rFonts w:eastAsia="黑体"/>
                <w:kern w:val="0"/>
                <w:sz w:val="18"/>
                <w:szCs w:val="18"/>
              </w:rPr>
            </w:pPr>
            <w:r>
              <w:rPr>
                <w:rFonts w:hint="eastAsia" w:eastAsia="黑体"/>
                <w:kern w:val="0"/>
                <w:sz w:val="18"/>
                <w:szCs w:val="18"/>
              </w:rPr>
              <w:t>投资</w:t>
            </w:r>
          </w:p>
          <w:p>
            <w:pPr>
              <w:spacing w:line="240" w:lineRule="exact"/>
              <w:jc w:val="center"/>
              <w:rPr>
                <w:rFonts w:eastAsia="黑体"/>
                <w:kern w:val="0"/>
                <w:szCs w:val="21"/>
              </w:rPr>
            </w:pPr>
            <w:r>
              <w:rPr>
                <w:rFonts w:hint="eastAsia" w:eastAsia="黑体"/>
                <w:kern w:val="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40" w:lineRule="exact"/>
              <w:jc w:val="center"/>
              <w:rPr>
                <w:rFonts w:eastAsia="仿宋_GB2312"/>
                <w:kern w:val="0"/>
                <w:szCs w:val="21"/>
              </w:rPr>
            </w:pPr>
            <w:r>
              <w:rPr>
                <w:rFonts w:hint="eastAsia" w:eastAsia="仿宋_GB2312"/>
                <w:kern w:val="0"/>
                <w:szCs w:val="21"/>
              </w:rPr>
              <w:t>城投</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宁波路二期</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129.5 </w:t>
            </w:r>
          </w:p>
        </w:tc>
        <w:tc>
          <w:tcPr>
            <w:tcW w:w="426" w:type="dxa"/>
            <w:vMerge w:val="restart"/>
            <w:tcBorders>
              <w:left w:val="double" w:color="auto" w:sz="4" w:space="0"/>
            </w:tcBorders>
            <w:vAlign w:val="center"/>
          </w:tcPr>
          <w:p>
            <w:pPr>
              <w:spacing w:line="240" w:lineRule="exact"/>
              <w:jc w:val="center"/>
              <w:rPr>
                <w:rFonts w:eastAsia="仿宋_GB2312"/>
                <w:kern w:val="0"/>
                <w:szCs w:val="21"/>
              </w:rPr>
            </w:pPr>
            <w:r>
              <w:rPr>
                <w:rFonts w:hint="eastAsia" w:eastAsia="仿宋_GB2312"/>
                <w:kern w:val="0"/>
                <w:szCs w:val="21"/>
              </w:rPr>
              <w:t>铁投</w:t>
            </w: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温州市域铁路S1线一期工程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101.6 </w:t>
            </w:r>
          </w:p>
        </w:tc>
        <w:tc>
          <w:tcPr>
            <w:tcW w:w="425" w:type="dxa"/>
            <w:vMerge w:val="restart"/>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生态园</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温州生态园中兴大道延伸段道路工程</w:t>
            </w:r>
          </w:p>
        </w:tc>
        <w:tc>
          <w:tcPr>
            <w:tcW w:w="709" w:type="dxa"/>
            <w:vAlign w:val="center"/>
          </w:tcPr>
          <w:p>
            <w:pPr>
              <w:spacing w:line="240" w:lineRule="exact"/>
              <w:jc w:val="center"/>
              <w:rPr>
                <w:kern w:val="0"/>
                <w:szCs w:val="21"/>
              </w:rPr>
            </w:pPr>
            <w:r>
              <w:rPr>
                <w:rFonts w:hint="eastAsia"/>
                <w:kern w:val="0"/>
                <w:szCs w:val="21"/>
              </w:rPr>
              <w:t xml:space="preserve">101.7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温州市七都大桥北汊桥</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89.3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市域铁路S2线一期工程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82.3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温州生态园三</w:t>
            </w:r>
            <w:r>
              <w:rPr>
                <w:rFonts w:hint="eastAsia" w:ascii="宋体" w:hAnsi="宋体" w:cs="宋体"/>
                <w:kern w:val="0"/>
                <w:szCs w:val="21"/>
              </w:rPr>
              <w:t>垟</w:t>
            </w:r>
            <w:r>
              <w:rPr>
                <w:rFonts w:hint="eastAsia" w:ascii="仿宋_GB2312" w:hAnsi="仿宋_GB2312" w:eastAsia="仿宋_GB2312" w:cs="仿宋_GB2312"/>
                <w:kern w:val="0"/>
                <w:szCs w:val="21"/>
              </w:rPr>
              <w:t>城市湿地公园建设工程</w:t>
            </w:r>
          </w:p>
        </w:tc>
        <w:tc>
          <w:tcPr>
            <w:tcW w:w="709" w:type="dxa"/>
            <w:vAlign w:val="center"/>
          </w:tcPr>
          <w:p>
            <w:pPr>
              <w:spacing w:line="240" w:lineRule="exact"/>
              <w:jc w:val="center"/>
              <w:rPr>
                <w:kern w:val="0"/>
                <w:szCs w:val="21"/>
              </w:rPr>
            </w:pPr>
            <w:r>
              <w:rPr>
                <w:rFonts w:hint="eastAsia"/>
                <w:kern w:val="0"/>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滨江商务区洪福路（府东路-加洲路）市政道路工程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150.2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乐清湾港区铁路支线</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84.3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温州生态园三郎桥A15地块旧村农房改造安置工程</w:t>
            </w:r>
          </w:p>
        </w:tc>
        <w:tc>
          <w:tcPr>
            <w:tcW w:w="709" w:type="dxa"/>
            <w:vAlign w:val="center"/>
          </w:tcPr>
          <w:p>
            <w:pPr>
              <w:spacing w:line="240" w:lineRule="exact"/>
              <w:jc w:val="center"/>
              <w:rPr>
                <w:kern w:val="0"/>
                <w:szCs w:val="21"/>
              </w:rPr>
            </w:pPr>
            <w:r>
              <w:rPr>
                <w:rFonts w:hint="eastAsia"/>
                <w:kern w:val="0"/>
                <w:szCs w:val="21"/>
              </w:rPr>
              <w:t xml:space="preserve">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滨江商务区CBD片区中央绿轴一期工程（17-02地块）</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247.4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杭温高铁一期（温州段）</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2.6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住建委</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温州市中心片污水处理厂迁建工程BOT项目</w:t>
            </w:r>
          </w:p>
        </w:tc>
        <w:tc>
          <w:tcPr>
            <w:tcW w:w="709" w:type="dxa"/>
            <w:vAlign w:val="center"/>
          </w:tcPr>
          <w:p>
            <w:pPr>
              <w:spacing w:line="240" w:lineRule="exact"/>
              <w:jc w:val="center"/>
              <w:rPr>
                <w:kern w:val="0"/>
                <w:szCs w:val="21"/>
              </w:rPr>
            </w:pPr>
            <w:r>
              <w:rPr>
                <w:rFonts w:hint="eastAsia"/>
                <w:kern w:val="0"/>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40" w:lineRule="exact"/>
              <w:jc w:val="center"/>
              <w:rPr>
                <w:rFonts w:eastAsia="仿宋_GB2312"/>
                <w:kern w:val="0"/>
                <w:szCs w:val="21"/>
              </w:rPr>
            </w:pPr>
            <w:r>
              <w:rPr>
                <w:rFonts w:hint="eastAsia" w:eastAsia="仿宋_GB2312"/>
                <w:kern w:val="0"/>
                <w:szCs w:val="21"/>
              </w:rPr>
              <w:t>公用</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温州市区天然气输配工程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155.9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温州市域铁路运营控制中心</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99.9 </w:t>
            </w:r>
          </w:p>
        </w:tc>
        <w:tc>
          <w:tcPr>
            <w:tcW w:w="425" w:type="dxa"/>
            <w:vMerge w:val="restart"/>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电力局</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苍南500千伏输变电工程</w:t>
            </w:r>
          </w:p>
        </w:tc>
        <w:tc>
          <w:tcPr>
            <w:tcW w:w="709" w:type="dxa"/>
            <w:vAlign w:val="center"/>
          </w:tcPr>
          <w:p>
            <w:pPr>
              <w:spacing w:line="240" w:lineRule="exact"/>
              <w:jc w:val="center"/>
              <w:rPr>
                <w:kern w:val="0"/>
                <w:szCs w:val="21"/>
              </w:rPr>
            </w:pPr>
            <w:r>
              <w:rPr>
                <w:rFonts w:hint="eastAsia"/>
                <w:kern w:val="0"/>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西向水厂输配水干线工程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89.7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灵昆车辆维修基地</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105.3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220千伏输变电工程</w:t>
            </w:r>
          </w:p>
        </w:tc>
        <w:tc>
          <w:tcPr>
            <w:tcW w:w="709" w:type="dxa"/>
            <w:vAlign w:val="center"/>
          </w:tcPr>
          <w:p>
            <w:pPr>
              <w:spacing w:line="240" w:lineRule="exact"/>
              <w:jc w:val="center"/>
              <w:rPr>
                <w:kern w:val="0"/>
                <w:szCs w:val="21"/>
              </w:rPr>
            </w:pPr>
            <w:r>
              <w:rPr>
                <w:rFonts w:hint="eastAsia"/>
                <w:kern w:val="0"/>
                <w:szCs w:val="21"/>
              </w:rPr>
              <w:t xml:space="preserve">111.0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石鼓山水厂一期工程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90.2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温州市动车南站西广场道路及配套工程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82.4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110千伏输变电工程</w:t>
            </w:r>
          </w:p>
        </w:tc>
        <w:tc>
          <w:tcPr>
            <w:tcW w:w="709" w:type="dxa"/>
            <w:vAlign w:val="center"/>
          </w:tcPr>
          <w:p>
            <w:pPr>
              <w:spacing w:line="240" w:lineRule="exact"/>
              <w:jc w:val="center"/>
              <w:rPr>
                <w:kern w:val="0"/>
                <w:szCs w:val="21"/>
              </w:rPr>
            </w:pPr>
            <w:r>
              <w:rPr>
                <w:rFonts w:hint="eastAsia"/>
                <w:kern w:val="0"/>
                <w:szCs w:val="21"/>
              </w:rPr>
              <w:t xml:space="preserve">105.0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40" w:lineRule="exact"/>
              <w:jc w:val="center"/>
              <w:rPr>
                <w:rFonts w:eastAsia="仿宋_GB2312"/>
                <w:kern w:val="0"/>
                <w:szCs w:val="21"/>
              </w:rPr>
            </w:pPr>
            <w:r>
              <w:rPr>
                <w:rFonts w:hint="eastAsia" w:eastAsia="仿宋_GB2312"/>
                <w:kern w:val="0"/>
                <w:szCs w:val="21"/>
              </w:rPr>
              <w:t>工业</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温州牛山国际城市综合体四期工程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107.1 </w:t>
            </w:r>
          </w:p>
        </w:tc>
        <w:tc>
          <w:tcPr>
            <w:tcW w:w="426" w:type="dxa"/>
            <w:vMerge w:val="restart"/>
            <w:tcBorders>
              <w:left w:val="double" w:color="auto" w:sz="4" w:space="0"/>
            </w:tcBorders>
            <w:vAlign w:val="center"/>
          </w:tcPr>
          <w:p>
            <w:pPr>
              <w:spacing w:line="240" w:lineRule="exact"/>
              <w:jc w:val="center"/>
              <w:rPr>
                <w:rFonts w:eastAsia="仿宋_GB2312"/>
                <w:kern w:val="0"/>
                <w:szCs w:val="21"/>
              </w:rPr>
            </w:pPr>
            <w:r>
              <w:rPr>
                <w:rFonts w:hint="eastAsia" w:eastAsia="仿宋_GB2312"/>
                <w:kern w:val="0"/>
                <w:szCs w:val="21"/>
              </w:rPr>
              <w:t>名城</w:t>
            </w: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双龙路（南浦路-龙方路段）一期道路桥梁工程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89.0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温州城乡配电网（含中心镇）建设工程</w:t>
            </w:r>
          </w:p>
        </w:tc>
        <w:tc>
          <w:tcPr>
            <w:tcW w:w="709" w:type="dxa"/>
            <w:vAlign w:val="center"/>
          </w:tcPr>
          <w:p>
            <w:pPr>
              <w:spacing w:line="240" w:lineRule="exact"/>
              <w:jc w:val="center"/>
              <w:rPr>
                <w:kern w:val="0"/>
                <w:szCs w:val="21"/>
              </w:rPr>
            </w:pPr>
            <w:r>
              <w:rPr>
                <w:rFonts w:hint="eastAsia"/>
                <w:kern w:val="0"/>
                <w:szCs w:val="21"/>
              </w:rPr>
              <w:t xml:space="preserve">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40" w:lineRule="exact"/>
              <w:jc w:val="center"/>
              <w:rPr>
                <w:rFonts w:eastAsia="仿宋_GB2312"/>
                <w:kern w:val="0"/>
                <w:szCs w:val="21"/>
              </w:rPr>
            </w:pPr>
            <w:r>
              <w:rPr>
                <w:rFonts w:hint="eastAsia" w:eastAsia="仿宋_GB2312"/>
                <w:kern w:val="0"/>
                <w:szCs w:val="21"/>
              </w:rPr>
              <w:t>交投</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温州绕城高速公路北线二期</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89.9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温州市龟湖街坊建设工程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180.9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公安局</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温州市监管中心建设工程</w:t>
            </w:r>
          </w:p>
        </w:tc>
        <w:tc>
          <w:tcPr>
            <w:tcW w:w="709" w:type="dxa"/>
            <w:vAlign w:val="center"/>
          </w:tcPr>
          <w:p>
            <w:pPr>
              <w:spacing w:line="240" w:lineRule="exact"/>
              <w:jc w:val="center"/>
              <w:rPr>
                <w:kern w:val="0"/>
                <w:szCs w:val="21"/>
              </w:rPr>
            </w:pPr>
            <w:r>
              <w:rPr>
                <w:rFonts w:hint="eastAsia"/>
                <w:kern w:val="0"/>
                <w:szCs w:val="21"/>
              </w:rPr>
              <w:t xml:space="preserve">74.3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甬台温高速公路复线温州南塘至黄华段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90.1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名城广场</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90.0 </w:t>
            </w:r>
          </w:p>
        </w:tc>
        <w:tc>
          <w:tcPr>
            <w:tcW w:w="425" w:type="dxa"/>
            <w:vMerge w:val="restart"/>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医科大</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温州医科大学仁济学院迁建工程</w:t>
            </w:r>
          </w:p>
        </w:tc>
        <w:tc>
          <w:tcPr>
            <w:tcW w:w="709" w:type="dxa"/>
            <w:vAlign w:val="center"/>
          </w:tcPr>
          <w:p>
            <w:pPr>
              <w:spacing w:line="240" w:lineRule="exact"/>
              <w:jc w:val="center"/>
              <w:rPr>
                <w:kern w:val="0"/>
                <w:szCs w:val="21"/>
              </w:rPr>
            </w:pPr>
            <w:r>
              <w:rPr>
                <w:rFonts w:hint="eastAsia"/>
                <w:kern w:val="0"/>
                <w:szCs w:val="21"/>
              </w:rPr>
              <w:t xml:space="preserve">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甬台温高速公路复线温州灵昆至阁巷段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93.1 </w:t>
            </w:r>
          </w:p>
        </w:tc>
        <w:tc>
          <w:tcPr>
            <w:tcW w:w="426" w:type="dxa"/>
            <w:vMerge w:val="restart"/>
            <w:tcBorders>
              <w:left w:val="double" w:color="auto" w:sz="4" w:space="0"/>
            </w:tcBorders>
            <w:vAlign w:val="center"/>
          </w:tcPr>
          <w:p>
            <w:pPr>
              <w:spacing w:line="240" w:lineRule="exact"/>
              <w:jc w:val="center"/>
              <w:rPr>
                <w:rFonts w:eastAsia="仿宋_GB2312"/>
                <w:kern w:val="0"/>
                <w:szCs w:val="21"/>
              </w:rPr>
            </w:pPr>
            <w:r>
              <w:rPr>
                <w:rFonts w:hint="eastAsia" w:eastAsia="仿宋_GB2312"/>
                <w:kern w:val="0"/>
                <w:szCs w:val="21"/>
              </w:rPr>
              <w:t>农投</w:t>
            </w: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温州市社会福利中心02c地块建设工程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83.9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温州医科大学附属第二医瑶溪医院</w:t>
            </w:r>
          </w:p>
        </w:tc>
        <w:tc>
          <w:tcPr>
            <w:tcW w:w="709" w:type="dxa"/>
            <w:vAlign w:val="center"/>
          </w:tcPr>
          <w:p>
            <w:pPr>
              <w:spacing w:line="240" w:lineRule="exact"/>
              <w:jc w:val="center"/>
              <w:rPr>
                <w:kern w:val="0"/>
                <w:szCs w:val="21"/>
              </w:rPr>
            </w:pPr>
            <w:r>
              <w:rPr>
                <w:rFonts w:hint="eastAsia"/>
                <w:kern w:val="0"/>
                <w:szCs w:val="21"/>
              </w:rPr>
              <w:t xml:space="preserve">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甬台温高速公路复线温州瑞安至苍南段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93.1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温州市本级新建储备粮库一期工程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190.4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温州医科大学附属口腔医院瑶溪新院建设工程</w:t>
            </w:r>
          </w:p>
        </w:tc>
        <w:tc>
          <w:tcPr>
            <w:tcW w:w="709" w:type="dxa"/>
            <w:vAlign w:val="center"/>
          </w:tcPr>
          <w:p>
            <w:pPr>
              <w:spacing w:line="240" w:lineRule="exact"/>
              <w:jc w:val="center"/>
              <w:rPr>
                <w:kern w:val="0"/>
                <w:szCs w:val="21"/>
              </w:rPr>
            </w:pPr>
            <w:r>
              <w:rPr>
                <w:rFonts w:hint="eastAsia"/>
                <w:kern w:val="0"/>
                <w:szCs w:val="21"/>
              </w:rPr>
              <w:t xml:space="preserve">151.7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温州瓯江北口大桥工程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90.8 </w:t>
            </w:r>
          </w:p>
        </w:tc>
        <w:tc>
          <w:tcPr>
            <w:tcW w:w="426" w:type="dxa"/>
            <w:vMerge w:val="restart"/>
            <w:tcBorders>
              <w:left w:val="double" w:color="auto" w:sz="4" w:space="0"/>
            </w:tcBorders>
            <w:vAlign w:val="center"/>
          </w:tcPr>
          <w:p>
            <w:pPr>
              <w:spacing w:line="240" w:lineRule="exact"/>
              <w:jc w:val="center"/>
              <w:rPr>
                <w:rFonts w:eastAsia="仿宋_GB2312"/>
                <w:kern w:val="0"/>
                <w:szCs w:val="21"/>
              </w:rPr>
            </w:pPr>
            <w:r>
              <w:rPr>
                <w:rFonts w:hint="eastAsia" w:eastAsia="仿宋_GB2312"/>
                <w:kern w:val="0"/>
                <w:szCs w:val="21"/>
              </w:rPr>
              <w:t>教育局</w:t>
            </w: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温州滨海职业教育中心建设工程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92.2 </w:t>
            </w:r>
          </w:p>
        </w:tc>
        <w:tc>
          <w:tcPr>
            <w:tcW w:w="425" w:type="dxa"/>
            <w:vMerge w:val="continue"/>
            <w:tcBorders>
              <w:left w:val="double" w:color="auto" w:sz="4" w:space="0"/>
            </w:tcBorders>
            <w:vAlign w:val="center"/>
          </w:tcPr>
          <w:p>
            <w:pPr>
              <w:spacing w:line="240" w:lineRule="exact"/>
              <w:rPr>
                <w:rFonts w:eastAsia="仿宋_GB2312" w:cs="宋体"/>
                <w:kern w:val="0"/>
                <w:szCs w:val="21"/>
              </w:rPr>
            </w:pP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温州医科大学眼视光改扩建工程</w:t>
            </w:r>
          </w:p>
        </w:tc>
        <w:tc>
          <w:tcPr>
            <w:tcW w:w="709" w:type="dxa"/>
            <w:vAlign w:val="center"/>
          </w:tcPr>
          <w:p>
            <w:pPr>
              <w:spacing w:line="240" w:lineRule="exact"/>
              <w:jc w:val="center"/>
              <w:rPr>
                <w:kern w:val="0"/>
                <w:szCs w:val="21"/>
              </w:rPr>
            </w:pPr>
            <w:r>
              <w:rPr>
                <w:rFonts w:hint="eastAsia"/>
                <w:kern w:val="0"/>
                <w:szCs w:val="21"/>
              </w:rPr>
              <w:t xml:space="preserve">111.0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40" w:lineRule="exact"/>
              <w:jc w:val="center"/>
              <w:rPr>
                <w:rFonts w:eastAsia="仿宋_GB2312"/>
                <w:kern w:val="0"/>
                <w:szCs w:val="21"/>
              </w:rPr>
            </w:pPr>
            <w:r>
              <w:rPr>
                <w:rFonts w:hint="eastAsia" w:eastAsia="仿宋_GB2312"/>
                <w:kern w:val="0"/>
                <w:szCs w:val="21"/>
              </w:rPr>
              <w:t>龙丽温</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龙丽温高速公路文成至瑞安段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95.1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温州市第二职业中等专业学校迁扩建工程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113.0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商学院</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温州商学院扩建工程</w:t>
            </w:r>
          </w:p>
        </w:tc>
        <w:tc>
          <w:tcPr>
            <w:tcW w:w="709" w:type="dxa"/>
            <w:vAlign w:val="center"/>
          </w:tcPr>
          <w:p>
            <w:pPr>
              <w:spacing w:line="240" w:lineRule="exact"/>
              <w:jc w:val="center"/>
              <w:rPr>
                <w:kern w:val="0"/>
                <w:szCs w:val="21"/>
              </w:rPr>
            </w:pPr>
            <w:r>
              <w:rPr>
                <w:rFonts w:hint="eastAsia"/>
                <w:kern w:val="0"/>
                <w:szCs w:val="21"/>
              </w:rPr>
              <w:t xml:space="preserve">133.0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溧阳至宁德高速公路（G4012）文成至泰顺段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76.1 </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温州市第三十二中学一期建设工程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99.8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肯恩</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温州肯恩大学</w:t>
            </w:r>
          </w:p>
        </w:tc>
        <w:tc>
          <w:tcPr>
            <w:tcW w:w="709" w:type="dxa"/>
            <w:vAlign w:val="center"/>
          </w:tcPr>
          <w:p>
            <w:pPr>
              <w:spacing w:line="240" w:lineRule="exact"/>
              <w:jc w:val="center"/>
              <w:rPr>
                <w:kern w:val="0"/>
                <w:szCs w:val="21"/>
              </w:rPr>
            </w:pPr>
            <w:r>
              <w:rPr>
                <w:rFonts w:hint="eastAsia"/>
                <w:kern w:val="0"/>
                <w:szCs w:val="21"/>
              </w:rPr>
              <w:t xml:space="preserve">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40" w:lineRule="exact"/>
              <w:jc w:val="center"/>
              <w:rPr>
                <w:rFonts w:eastAsia="仿宋_GB2312"/>
                <w:kern w:val="0"/>
                <w:szCs w:val="21"/>
              </w:rPr>
            </w:pP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溧阳至宁德高速公路（G4012）浙江景宁至文成段（文成段）</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0</w:t>
            </w:r>
          </w:p>
        </w:tc>
        <w:tc>
          <w:tcPr>
            <w:tcW w:w="426" w:type="dxa"/>
            <w:vMerge w:val="continue"/>
            <w:tcBorders>
              <w:left w:val="double" w:color="auto" w:sz="4" w:space="0"/>
            </w:tcBorders>
            <w:vAlign w:val="center"/>
          </w:tcPr>
          <w:p>
            <w:pPr>
              <w:spacing w:line="240" w:lineRule="exact"/>
              <w:jc w:val="center"/>
              <w:rPr>
                <w:rFonts w:eastAsia="仿宋_GB2312"/>
                <w:kern w:val="0"/>
                <w:szCs w:val="21"/>
              </w:rPr>
            </w:pP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温州市学生实践学校（原温州市学生实践基地）建设工程</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92.0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工贸</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浙江工贸职业技术学院（浙江第一高级技工学校）扩建工程</w:t>
            </w:r>
          </w:p>
        </w:tc>
        <w:tc>
          <w:tcPr>
            <w:tcW w:w="709" w:type="dxa"/>
            <w:vAlign w:val="center"/>
          </w:tcPr>
          <w:p>
            <w:pPr>
              <w:spacing w:line="240" w:lineRule="exact"/>
              <w:jc w:val="center"/>
              <w:rPr>
                <w:kern w:val="0"/>
                <w:szCs w:val="21"/>
              </w:rPr>
            </w:pPr>
            <w:r>
              <w:rPr>
                <w:rFonts w:hint="eastAsia"/>
                <w:kern w:val="0"/>
                <w:szCs w:val="21"/>
              </w:rPr>
              <w:t xml:space="preserve">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40" w:lineRule="exact"/>
              <w:jc w:val="center"/>
              <w:rPr>
                <w:rFonts w:eastAsia="仿宋_GB2312"/>
                <w:kern w:val="0"/>
                <w:szCs w:val="21"/>
              </w:rPr>
            </w:pPr>
            <w:r>
              <w:rPr>
                <w:rFonts w:hint="eastAsia" w:eastAsia="仿宋_GB2312"/>
                <w:kern w:val="0"/>
                <w:szCs w:val="21"/>
              </w:rPr>
              <w:t>机场</w:t>
            </w:r>
          </w:p>
        </w:tc>
        <w:tc>
          <w:tcPr>
            <w:tcW w:w="2444" w:type="dxa"/>
            <w:vAlign w:val="center"/>
          </w:tcPr>
          <w:p>
            <w:pPr>
              <w:spacing w:line="240" w:lineRule="exact"/>
              <w:rPr>
                <w:rFonts w:eastAsia="仿宋_GB2312" w:cs="宋体"/>
                <w:kern w:val="0"/>
                <w:szCs w:val="21"/>
              </w:rPr>
            </w:pPr>
            <w:r>
              <w:rPr>
                <w:rFonts w:hint="eastAsia" w:eastAsia="仿宋_GB2312" w:cs="宋体"/>
                <w:kern w:val="0"/>
                <w:szCs w:val="21"/>
              </w:rPr>
              <w:t>温州机场新建货运区及生产辅助设施工程</w:t>
            </w:r>
          </w:p>
        </w:tc>
        <w:tc>
          <w:tcPr>
            <w:tcW w:w="708" w:type="dxa"/>
            <w:tcBorders>
              <w:right w:val="double" w:color="auto" w:sz="4" w:space="0"/>
            </w:tcBorders>
            <w:vAlign w:val="center"/>
          </w:tcPr>
          <w:p>
            <w:pPr>
              <w:spacing w:line="240" w:lineRule="exact"/>
              <w:jc w:val="center"/>
              <w:rPr>
                <w:kern w:val="0"/>
                <w:szCs w:val="21"/>
              </w:rPr>
            </w:pPr>
            <w:r>
              <w:rPr>
                <w:rFonts w:hint="eastAsia"/>
                <w:kern w:val="0"/>
                <w:szCs w:val="21"/>
              </w:rPr>
              <w:t xml:space="preserve">79.4 </w:t>
            </w:r>
          </w:p>
        </w:tc>
        <w:tc>
          <w:tcPr>
            <w:tcW w:w="426" w:type="dxa"/>
            <w:vMerge w:val="restart"/>
            <w:tcBorders>
              <w:left w:val="double" w:color="auto" w:sz="4" w:space="0"/>
            </w:tcBorders>
            <w:vAlign w:val="center"/>
          </w:tcPr>
          <w:p>
            <w:pPr>
              <w:spacing w:line="240" w:lineRule="exact"/>
              <w:rPr>
                <w:rFonts w:eastAsia="仿宋_GB2312"/>
                <w:kern w:val="0"/>
                <w:szCs w:val="21"/>
              </w:rPr>
            </w:pPr>
            <w:r>
              <w:rPr>
                <w:rFonts w:hint="eastAsia" w:eastAsia="仿宋_GB2312"/>
                <w:kern w:val="0"/>
                <w:szCs w:val="21"/>
              </w:rPr>
              <w:t>体育局</w:t>
            </w:r>
          </w:p>
        </w:tc>
        <w:tc>
          <w:tcPr>
            <w:tcW w:w="2126" w:type="dxa"/>
            <w:vAlign w:val="center"/>
          </w:tcPr>
          <w:p>
            <w:pPr>
              <w:spacing w:line="240" w:lineRule="exact"/>
              <w:rPr>
                <w:rFonts w:eastAsia="仿宋_GB2312" w:cs="宋体"/>
                <w:kern w:val="0"/>
                <w:szCs w:val="21"/>
              </w:rPr>
            </w:pPr>
            <w:r>
              <w:rPr>
                <w:rFonts w:hint="eastAsia" w:eastAsia="仿宋_GB2312" w:cs="宋体"/>
                <w:kern w:val="0"/>
                <w:szCs w:val="21"/>
              </w:rPr>
              <w:t>温州体育运动学校迁建工程（永中校区）</w:t>
            </w:r>
          </w:p>
        </w:tc>
        <w:tc>
          <w:tcPr>
            <w:tcW w:w="709" w:type="dxa"/>
            <w:tcBorders>
              <w:right w:val="double" w:color="auto" w:sz="4" w:space="0"/>
            </w:tcBorders>
            <w:vAlign w:val="center"/>
          </w:tcPr>
          <w:p>
            <w:pPr>
              <w:spacing w:line="240" w:lineRule="exact"/>
              <w:jc w:val="center"/>
              <w:rPr>
                <w:kern w:val="0"/>
                <w:szCs w:val="21"/>
              </w:rPr>
            </w:pPr>
            <w:r>
              <w:rPr>
                <w:rFonts w:hint="eastAsia"/>
                <w:kern w:val="0"/>
                <w:szCs w:val="21"/>
              </w:rPr>
              <w:t xml:space="preserve">98.8 </w:t>
            </w:r>
          </w:p>
        </w:tc>
        <w:tc>
          <w:tcPr>
            <w:tcW w:w="425" w:type="dxa"/>
            <w:tcBorders>
              <w:left w:val="doub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安防</w:t>
            </w:r>
          </w:p>
        </w:tc>
        <w:tc>
          <w:tcPr>
            <w:tcW w:w="2268" w:type="dxa"/>
            <w:vAlign w:val="center"/>
          </w:tcPr>
          <w:p>
            <w:pPr>
              <w:spacing w:line="240" w:lineRule="exact"/>
              <w:rPr>
                <w:rFonts w:eastAsia="仿宋_GB2312" w:cs="宋体"/>
                <w:kern w:val="0"/>
                <w:szCs w:val="21"/>
              </w:rPr>
            </w:pPr>
            <w:r>
              <w:rPr>
                <w:rFonts w:hint="eastAsia" w:eastAsia="仿宋_GB2312" w:cs="宋体"/>
                <w:kern w:val="0"/>
                <w:szCs w:val="21"/>
              </w:rPr>
              <w:t>温州市郭溪南单元安防学院J-02北地块建设工程</w:t>
            </w:r>
          </w:p>
        </w:tc>
        <w:tc>
          <w:tcPr>
            <w:tcW w:w="709" w:type="dxa"/>
            <w:vAlign w:val="center"/>
          </w:tcPr>
          <w:p>
            <w:pPr>
              <w:spacing w:line="240" w:lineRule="exact"/>
              <w:jc w:val="center"/>
              <w:rPr>
                <w:kern w:val="0"/>
                <w:szCs w:val="21"/>
              </w:rPr>
            </w:pPr>
            <w:r>
              <w:rPr>
                <w:rFonts w:hint="eastAsia"/>
                <w:kern w:val="0"/>
                <w:szCs w:val="21"/>
              </w:rPr>
              <w:t xml:space="preserve">168.0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tcBorders>
              <w:bottom w:val="single" w:color="auto" w:sz="4" w:space="0"/>
            </w:tcBorders>
            <w:vAlign w:val="center"/>
          </w:tcPr>
          <w:p>
            <w:pPr>
              <w:spacing w:line="240" w:lineRule="exact"/>
              <w:jc w:val="center"/>
              <w:rPr>
                <w:rFonts w:eastAsia="仿宋_GB2312"/>
                <w:kern w:val="0"/>
                <w:szCs w:val="21"/>
              </w:rPr>
            </w:pPr>
          </w:p>
        </w:tc>
        <w:tc>
          <w:tcPr>
            <w:tcW w:w="2444" w:type="dxa"/>
            <w:tcBorders>
              <w:bottom w:val="sing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温州机场交通枢纽综合体及公用配套工程</w:t>
            </w:r>
          </w:p>
        </w:tc>
        <w:tc>
          <w:tcPr>
            <w:tcW w:w="708" w:type="dxa"/>
            <w:tcBorders>
              <w:bottom w:val="single" w:color="auto" w:sz="4" w:space="0"/>
              <w:right w:val="double" w:color="auto" w:sz="4" w:space="0"/>
            </w:tcBorders>
            <w:vAlign w:val="center"/>
          </w:tcPr>
          <w:p>
            <w:pPr>
              <w:spacing w:line="240" w:lineRule="exact"/>
              <w:jc w:val="center"/>
              <w:rPr>
                <w:kern w:val="0"/>
                <w:szCs w:val="21"/>
              </w:rPr>
            </w:pPr>
            <w:r>
              <w:rPr>
                <w:rFonts w:hint="eastAsia"/>
                <w:kern w:val="0"/>
                <w:szCs w:val="21"/>
              </w:rPr>
              <w:t xml:space="preserve">141.8 </w:t>
            </w:r>
          </w:p>
        </w:tc>
        <w:tc>
          <w:tcPr>
            <w:tcW w:w="426" w:type="dxa"/>
            <w:vMerge w:val="continue"/>
            <w:tcBorders>
              <w:left w:val="double" w:color="auto" w:sz="4" w:space="0"/>
              <w:bottom w:val="single" w:color="auto" w:sz="4" w:space="0"/>
            </w:tcBorders>
            <w:vAlign w:val="center"/>
          </w:tcPr>
          <w:p>
            <w:pPr>
              <w:spacing w:line="240" w:lineRule="exact"/>
              <w:jc w:val="center"/>
              <w:rPr>
                <w:rFonts w:eastAsia="仿宋_GB2312"/>
                <w:kern w:val="0"/>
                <w:szCs w:val="21"/>
              </w:rPr>
            </w:pPr>
          </w:p>
        </w:tc>
        <w:tc>
          <w:tcPr>
            <w:tcW w:w="2126" w:type="dxa"/>
            <w:tcBorders>
              <w:bottom w:val="sing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温州奥林匹克体育中心-主体育场二期工程</w:t>
            </w:r>
          </w:p>
        </w:tc>
        <w:tc>
          <w:tcPr>
            <w:tcW w:w="709" w:type="dxa"/>
            <w:tcBorders>
              <w:bottom w:val="single" w:color="auto" w:sz="4" w:space="0"/>
              <w:right w:val="double" w:color="auto" w:sz="4" w:space="0"/>
            </w:tcBorders>
            <w:vAlign w:val="center"/>
          </w:tcPr>
          <w:p>
            <w:pPr>
              <w:spacing w:line="240" w:lineRule="exact"/>
              <w:jc w:val="center"/>
              <w:rPr>
                <w:kern w:val="0"/>
                <w:szCs w:val="21"/>
              </w:rPr>
            </w:pPr>
            <w:r>
              <w:rPr>
                <w:rFonts w:hint="eastAsia"/>
                <w:kern w:val="0"/>
                <w:szCs w:val="21"/>
              </w:rPr>
              <w:t xml:space="preserve">75.1 </w:t>
            </w:r>
          </w:p>
        </w:tc>
        <w:tc>
          <w:tcPr>
            <w:tcW w:w="425" w:type="dxa"/>
            <w:tcBorders>
              <w:left w:val="double" w:color="auto" w:sz="4" w:space="0"/>
              <w:bottom w:val="sing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中石化</w:t>
            </w:r>
          </w:p>
        </w:tc>
        <w:tc>
          <w:tcPr>
            <w:tcW w:w="2268" w:type="dxa"/>
            <w:tcBorders>
              <w:bottom w:val="single" w:color="auto" w:sz="4" w:space="0"/>
            </w:tcBorders>
            <w:vAlign w:val="center"/>
          </w:tcPr>
          <w:p>
            <w:pPr>
              <w:spacing w:line="240" w:lineRule="exact"/>
              <w:rPr>
                <w:rFonts w:eastAsia="仿宋_GB2312" w:cs="宋体"/>
                <w:kern w:val="0"/>
                <w:szCs w:val="21"/>
              </w:rPr>
            </w:pPr>
            <w:r>
              <w:rPr>
                <w:rFonts w:hint="eastAsia" w:eastAsia="仿宋_GB2312" w:cs="宋体"/>
                <w:kern w:val="0"/>
                <w:szCs w:val="21"/>
              </w:rPr>
              <w:t>中石化温州灵昆油库及配套工程项目</w:t>
            </w:r>
          </w:p>
        </w:tc>
        <w:tc>
          <w:tcPr>
            <w:tcW w:w="709" w:type="dxa"/>
            <w:tcBorders>
              <w:bottom w:val="single" w:color="auto" w:sz="4" w:space="0"/>
            </w:tcBorders>
            <w:vAlign w:val="center"/>
          </w:tcPr>
          <w:p>
            <w:pPr>
              <w:spacing w:line="240" w:lineRule="exact"/>
              <w:jc w:val="center"/>
              <w:rPr>
                <w:kern w:val="0"/>
                <w:szCs w:val="21"/>
              </w:rPr>
            </w:pPr>
            <w:r>
              <w:rPr>
                <w:rFonts w:hint="eastAsia"/>
                <w:kern w:val="0"/>
                <w:szCs w:val="21"/>
              </w:rPr>
              <w:t xml:space="preserve">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241" w:type="dxa"/>
            <w:gridSpan w:val="9"/>
            <w:tcBorders>
              <w:left w:val="nil"/>
              <w:bottom w:val="nil"/>
              <w:right w:val="nil"/>
            </w:tcBorders>
            <w:vAlign w:val="center"/>
          </w:tcPr>
          <w:p>
            <w:pPr>
              <w:spacing w:line="240" w:lineRule="exact"/>
              <w:ind w:right="210"/>
              <w:jc w:val="left"/>
              <w:rPr>
                <w:rFonts w:eastAsia="黑体" w:cstheme="majorEastAsia"/>
                <w:kern w:val="0"/>
                <w:szCs w:val="21"/>
              </w:rPr>
            </w:pPr>
            <w:r>
              <w:rPr>
                <w:rFonts w:hint="eastAsia" w:eastAsia="黑体" w:cstheme="majorEastAsia"/>
                <w:kern w:val="0"/>
                <w:szCs w:val="21"/>
              </w:rPr>
              <w:t>备注:市直单位共59个项目，其中有5个省属通信类项目未纳入此表。</w:t>
            </w:r>
          </w:p>
        </w:tc>
      </w:tr>
    </w:tbl>
    <w:p>
      <w:pPr>
        <w:spacing w:line="40" w:lineRule="exact"/>
        <w:ind w:firstLine="5184" w:firstLineChars="1620"/>
        <w:jc w:val="right"/>
        <w:rPr>
          <w:rFonts w:eastAsia="仿宋_GB2312"/>
          <w:kern w:val="0"/>
          <w:sz w:val="32"/>
          <w:szCs w:val="32"/>
          <w:u w:val="single"/>
        </w:rPr>
      </w:pPr>
    </w:p>
    <w:p>
      <w:pPr>
        <w:spacing w:after="120" w:afterLines="50" w:line="240" w:lineRule="atLeast"/>
        <w:rPr>
          <w:rFonts w:eastAsia="黑体"/>
          <w:kern w:val="0"/>
          <w:sz w:val="32"/>
          <w:szCs w:val="32"/>
        </w:rPr>
      </w:pPr>
      <w:r>
        <w:rPr>
          <w:rFonts w:eastAsia="仿宋_GB2312"/>
          <w:kern w:val="0"/>
          <w:sz w:val="32"/>
          <w:szCs w:val="32"/>
          <w:u w:val="single"/>
        </w:rPr>
        <w:br w:type="page"/>
      </w:r>
      <w:r>
        <w:rPr>
          <w:rFonts w:hint="eastAsia" w:eastAsia="黑体"/>
          <w:kern w:val="0"/>
          <w:sz w:val="32"/>
          <w:szCs w:val="32"/>
        </w:rPr>
        <w:t>附件5</w:t>
      </w:r>
    </w:p>
    <w:p>
      <w:pPr>
        <w:adjustRightInd w:val="0"/>
        <w:snapToGrid w:val="0"/>
        <w:spacing w:line="240" w:lineRule="atLeast"/>
        <w:jc w:val="center"/>
        <w:rPr>
          <w:kern w:val="0"/>
          <w:sz w:val="24"/>
        </w:rPr>
      </w:pPr>
      <w:r>
        <w:rPr>
          <w:rFonts w:hint="eastAsia" w:eastAsia="方正小标宋简体"/>
          <w:kern w:val="0"/>
          <w:sz w:val="36"/>
          <w:szCs w:val="36"/>
        </w:rPr>
        <w:t>2018年市重点建设项目开工完成情况表</w:t>
      </w:r>
      <w:r>
        <w:rPr>
          <w:rFonts w:hint="eastAsia" w:eastAsia="楷体_GB2312"/>
          <w:kern w:val="0"/>
          <w:sz w:val="32"/>
          <w:szCs w:val="32"/>
        </w:rPr>
        <w:t>（1-11月）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单位</w:t>
            </w:r>
          </w:p>
        </w:tc>
        <w:tc>
          <w:tcPr>
            <w:tcW w:w="2024" w:type="dxa"/>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项目名称</w:t>
            </w:r>
          </w:p>
        </w:tc>
        <w:tc>
          <w:tcPr>
            <w:tcW w:w="567" w:type="dxa"/>
            <w:vAlign w:val="center"/>
          </w:tcPr>
          <w:p>
            <w:pPr>
              <w:adjustRightInd w:val="0"/>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计划开工时间</w:t>
            </w:r>
          </w:p>
        </w:tc>
        <w:tc>
          <w:tcPr>
            <w:tcW w:w="397" w:type="dxa"/>
            <w:tcBorders>
              <w:right w:val="double" w:color="auto" w:sz="4" w:space="0"/>
            </w:tcBorders>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开工情况</w:t>
            </w:r>
          </w:p>
        </w:tc>
        <w:tc>
          <w:tcPr>
            <w:tcW w:w="427" w:type="dxa"/>
            <w:tcBorders>
              <w:left w:val="double" w:color="auto" w:sz="4" w:space="0"/>
            </w:tcBorders>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单位</w:t>
            </w:r>
          </w:p>
        </w:tc>
        <w:tc>
          <w:tcPr>
            <w:tcW w:w="2011" w:type="dxa"/>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项目名称</w:t>
            </w:r>
          </w:p>
        </w:tc>
        <w:tc>
          <w:tcPr>
            <w:tcW w:w="567" w:type="dxa"/>
            <w:vAlign w:val="center"/>
          </w:tcPr>
          <w:p>
            <w:pPr>
              <w:adjustRightInd w:val="0"/>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计划开工时间</w:t>
            </w:r>
          </w:p>
        </w:tc>
        <w:tc>
          <w:tcPr>
            <w:tcW w:w="411" w:type="dxa"/>
            <w:tcBorders>
              <w:right w:val="double" w:color="auto" w:sz="4" w:space="0"/>
            </w:tcBorders>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开工</w:t>
            </w:r>
          </w:p>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情况</w:t>
            </w:r>
          </w:p>
        </w:tc>
        <w:tc>
          <w:tcPr>
            <w:tcW w:w="427" w:type="dxa"/>
            <w:tcBorders>
              <w:left w:val="double" w:color="auto" w:sz="4" w:space="0"/>
            </w:tcBorders>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单位</w:t>
            </w:r>
          </w:p>
        </w:tc>
        <w:tc>
          <w:tcPr>
            <w:tcW w:w="1997" w:type="dxa"/>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项目名称</w:t>
            </w:r>
          </w:p>
        </w:tc>
        <w:tc>
          <w:tcPr>
            <w:tcW w:w="567" w:type="dxa"/>
            <w:vAlign w:val="center"/>
          </w:tcPr>
          <w:p>
            <w:pPr>
              <w:adjustRightInd w:val="0"/>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计划开工时间</w:t>
            </w:r>
          </w:p>
        </w:tc>
        <w:tc>
          <w:tcPr>
            <w:tcW w:w="425" w:type="dxa"/>
            <w:vAlign w:val="center"/>
          </w:tcPr>
          <w:p>
            <w:pPr>
              <w:spacing w:line="180" w:lineRule="exact"/>
              <w:jc w:val="center"/>
              <w:rPr>
                <w:rFonts w:eastAsia="黑体"/>
                <w:color w:val="000000" w:themeColor="text1"/>
                <w:kern w:val="0"/>
                <w:sz w:val="18"/>
                <w:szCs w:val="18"/>
                <w14:textFill>
                  <w14:solidFill>
                    <w14:schemeClr w14:val="tx1"/>
                  </w14:solidFill>
                </w14:textFill>
              </w:rPr>
            </w:pPr>
            <w:r>
              <w:rPr>
                <w:rFonts w:eastAsia="黑体"/>
                <w:color w:val="000000" w:themeColor="text1"/>
                <w:kern w:val="0"/>
                <w:sz w:val="18"/>
                <w:szCs w:val="18"/>
                <w14:textFill>
                  <w14:solidFill>
                    <w14:schemeClr w14:val="tx1"/>
                  </w14:solidFill>
                </w14:textFill>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鹿城区</w:t>
            </w: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温州市瓯江引水鹿城西片配水工程（隧洞河道工程）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乐清市</w:t>
            </w: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乐清市乐柳虹平原排涝一期工程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文成县</w:t>
            </w: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文成县下沙</w:t>
            </w:r>
            <w:r>
              <w:rPr>
                <w:rFonts w:hint="eastAsia" w:cs="宋体"/>
                <w:color w:val="000000" w:themeColor="text1"/>
                <w:kern w:val="0"/>
                <w:sz w:val="16"/>
                <w:szCs w:val="16"/>
                <w14:textFill>
                  <w14:solidFill>
                    <w14:schemeClr w14:val="tx1"/>
                  </w14:solidFill>
                </w14:textFill>
              </w:rPr>
              <w:t>垟</w:t>
            </w:r>
            <w:r>
              <w:rPr>
                <w:rFonts w:hint="eastAsia" w:eastAsia="仿宋_GB2312" w:cs="仿宋_GB2312"/>
                <w:color w:val="000000" w:themeColor="text1"/>
                <w:kern w:val="0"/>
                <w:sz w:val="16"/>
                <w:szCs w:val="16"/>
                <w14:textFill>
                  <w14:solidFill>
                    <w14:schemeClr w14:val="tx1"/>
                  </w14:solidFill>
                </w14:textFill>
              </w:rPr>
              <w:t>城中村项目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330国道鹿城官岭隧道改建工程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8</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228国道至323省道连接线</w:t>
            </w:r>
          </w:p>
        </w:tc>
        <w:tc>
          <w:tcPr>
            <w:tcW w:w="567" w:type="dxa"/>
            <w:vAlign w:val="center"/>
          </w:tcPr>
          <w:p>
            <w:pPr>
              <w:spacing w:line="200" w:lineRule="exact"/>
              <w:jc w:val="center"/>
              <w:rPr>
                <w:rFonts w:cs="宋体"/>
                <w:b/>
                <w:color w:val="000000" w:themeColor="text1"/>
                <w:kern w:val="0"/>
                <w:sz w:val="18"/>
                <w:szCs w:val="18"/>
                <w14:textFill>
                  <w14:solidFill>
                    <w14:schemeClr w14:val="tx1"/>
                  </w14:solidFill>
                </w14:textFill>
              </w:rPr>
            </w:pPr>
            <w:r>
              <w:rPr>
                <w:rFonts w:hint="eastAsia"/>
                <w:b/>
                <w:color w:val="000000" w:themeColor="text1"/>
                <w:kern w:val="0"/>
                <w:sz w:val="18"/>
                <w:szCs w:val="18"/>
                <w14:textFill>
                  <w14:solidFill>
                    <w14:schemeClr w14:val="tx1"/>
                  </w14:solidFill>
                </w14:textFill>
              </w:rPr>
              <w:t>9</w:t>
            </w:r>
          </w:p>
        </w:tc>
        <w:tc>
          <w:tcPr>
            <w:tcW w:w="411" w:type="dxa"/>
            <w:tcBorders>
              <w:right w:val="double" w:color="auto" w:sz="4" w:space="0"/>
            </w:tcBorders>
            <w:vAlign w:val="center"/>
          </w:tcPr>
          <w:p>
            <w:pPr>
              <w:spacing w:line="200" w:lineRule="exact"/>
              <w:jc w:val="center"/>
              <w:rPr>
                <w:rFonts w:cs="宋体"/>
                <w:b/>
                <w:color w:val="000000" w:themeColor="text1"/>
                <w:kern w:val="0"/>
                <w:sz w:val="18"/>
                <w:szCs w:val="18"/>
                <w14:textFill>
                  <w14:solidFill>
                    <w14:schemeClr w14:val="tx1"/>
                  </w14:solidFill>
                </w14:textFill>
              </w:rPr>
            </w:pPr>
            <w:r>
              <w:rPr>
                <w:rFonts w:cs="宋体"/>
                <w:b/>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文成县樟台村城中村项目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温瑞大道二期道路提升整治工程（鹿城段）</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虹桥职业技术学校迁扩建工程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黄坦镇东方慢城飞云湖小镇</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瓯江路道路及景观改造提升工程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乐清经济开发区学校建设工程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平阳县</w:t>
            </w: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平阳县瑞平平原排涝工程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中央绿轴区F-01地块、规划五路地下空间建设项目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柳市中学迁建工程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平阳昆阳镇城东小学建设工程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中央绿轴区D-34b地块、D-34a地块地下空间及水下通道建设项目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乐清市中医院扩建工程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平阳县中医院迁建工程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9</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温州市七都岛片区七都南单元04-C-14/15/17/18地块及智联街地块项目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乐清市翁象大道及连接线（白象大道）建设工程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9</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平阳县市民公园建设工程一期</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龙湾区</w:t>
            </w: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瑞浦能源动力电池产业园</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乐清市盐盆山隧道及接线工程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泰顺县</w:t>
            </w: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泰顺县樟嫩梓水库及供水工程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空港新区空港中学</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乐清中能环球中心</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泰顺污水总厂和给排水工程PPP项目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9</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雁荡中路道路工程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瑞安市</w:t>
            </w: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104国道西过境瑞安仙降至平阳萧江段改建工程（瑞安段）</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廊桥文化广场综合体</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浙南科技城龙水片（YB-04-I-02、YB-04-I-06地块）城中村改造工程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华瑞达包装材料股份有限公司新建高分子材料BOPA薄膜生产线项目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苍南县</w:t>
            </w: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鳌江南港流域江西</w:t>
            </w:r>
            <w:r>
              <w:rPr>
                <w:rFonts w:hint="eastAsia" w:cs="宋体"/>
                <w:color w:val="000000" w:themeColor="text1"/>
                <w:kern w:val="0"/>
                <w:sz w:val="16"/>
                <w:szCs w:val="16"/>
                <w14:textFill>
                  <w14:solidFill>
                    <w14:schemeClr w14:val="tx1"/>
                  </w14:solidFill>
                </w14:textFill>
              </w:rPr>
              <w:t>垟</w:t>
            </w:r>
            <w:r>
              <w:rPr>
                <w:rFonts w:hint="eastAsia" w:eastAsia="仿宋_GB2312" w:cs="仿宋_GB2312"/>
                <w:color w:val="000000" w:themeColor="text1"/>
                <w:kern w:val="0"/>
                <w:sz w:val="16"/>
                <w:szCs w:val="16"/>
                <w14:textFill>
                  <w14:solidFill>
                    <w14:schemeClr w14:val="tx1"/>
                  </w14:solidFill>
                </w14:textFill>
              </w:rPr>
              <w:t>平原排涝工程（苍南一期）</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温州市域铁路S1线龙腾站拆迁安置房工程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浙江新力新材料股份有限公司产5.5万吨特种工程塑料及透明尼龙的合成改性产业化项目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228国道苍南龙沙至岱岭段</w:t>
            </w:r>
          </w:p>
        </w:tc>
        <w:tc>
          <w:tcPr>
            <w:tcW w:w="567"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10</w:t>
            </w:r>
          </w:p>
        </w:tc>
        <w:tc>
          <w:tcPr>
            <w:tcW w:w="425"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eastAsia="仿宋_GB2312"/>
                <w:b/>
                <w:color w:val="000000" w:themeColor="text1"/>
                <w:kern w:val="0"/>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S1线温州大道站配套工程（11-A-15 /24/30）</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8</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瑞安市东新产城小微园（一期）</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彩虹智慧科技园</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龙江路电力线上改下迁改工程（中心区段）</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丁山二期围垦区市政道路工程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钱库小微创业园一期(新安)</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瓯海区</w:t>
            </w: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牛山整治城中村改造C-34地块配套学校（原新桥三小）扩建工程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8</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东新产城科技创意园一期</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龙港新城小微园区</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瓯海区霞坊路（温瑞大道-东方路）道路</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瑞安市滨海恒大商务中心</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11" w:type="dxa"/>
            <w:tcBorders>
              <w:right w:val="double" w:color="auto" w:sz="4" w:space="0"/>
            </w:tcBorders>
            <w:vAlign w:val="center"/>
          </w:tcPr>
          <w:p>
            <w:pPr>
              <w:spacing w:line="200" w:lineRule="exact"/>
              <w:jc w:val="center"/>
              <w:rPr>
                <w:rFonts w:cs="宋体"/>
                <w:b/>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苍南县大渔寮景区景观提升工程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丽岙街道王宅村城中村改造安置工程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瑞安市滨海五星级宾馆工程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瓯江口</w:t>
            </w:r>
          </w:p>
        </w:tc>
        <w:tc>
          <w:tcPr>
            <w:tcW w:w="1997" w:type="dxa"/>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228国道洞头灵昆段工程</w:t>
            </w:r>
          </w:p>
        </w:tc>
        <w:tc>
          <w:tcPr>
            <w:tcW w:w="567"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9</w:t>
            </w:r>
          </w:p>
        </w:tc>
        <w:tc>
          <w:tcPr>
            <w:tcW w:w="425"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eastAsia="仿宋_GB2312"/>
                <w:b/>
                <w:color w:val="000000" w:themeColor="text1"/>
                <w:kern w:val="0"/>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温州市瓯海中心区南单元D-22地块城中村改造安置房</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永嘉县</w:t>
            </w: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永嘉县（鹅浦溪、下塘溪）河口段整治工程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沈海高速复线瓯江口产业集聚区连接线工程</w:t>
            </w:r>
          </w:p>
        </w:tc>
        <w:tc>
          <w:tcPr>
            <w:tcW w:w="567"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6</w:t>
            </w:r>
          </w:p>
        </w:tc>
        <w:tc>
          <w:tcPr>
            <w:tcW w:w="425"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eastAsia="仿宋_GB2312"/>
                <w:b/>
                <w:color w:val="000000" w:themeColor="text1"/>
                <w:kern w:val="0"/>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瓯海中心区拆迁安置商务楼（电力大楼中心单元B-11地块）</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S215省道安吉至洞头公路永嘉巽宅至桥下段工程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瓯锟科技金属复合新材料产业化项目（一期）</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瓯海时尚智造小镇会展中心工程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S333（49省道）永嘉桥下至桥头段改建工程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tcBorders>
              <w:left w:val="double" w:color="auto" w:sz="4" w:space="0"/>
            </w:tcBorders>
            <w:vAlign w:val="center"/>
          </w:tcPr>
          <w:p>
            <w:pPr>
              <w:spacing w:line="160" w:lineRule="exact"/>
              <w:jc w:val="center"/>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浙南</w:t>
            </w: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浙江合泰汽车科技有限公司汽车零部件项目</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温州时尚智造小镇温州设计学院创意设计基地</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Merge w:val="restart"/>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温岭至常山公路永嘉大若岩至巽宅段改建工程</w:t>
            </w:r>
          </w:p>
        </w:tc>
        <w:tc>
          <w:tcPr>
            <w:tcW w:w="567" w:type="dxa"/>
            <w:vMerge w:val="restart"/>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11</w:t>
            </w:r>
          </w:p>
        </w:tc>
        <w:tc>
          <w:tcPr>
            <w:tcW w:w="411" w:type="dxa"/>
            <w:vMerge w:val="restart"/>
            <w:tcBorders>
              <w:right w:val="double" w:color="auto" w:sz="4" w:space="0"/>
            </w:tcBorders>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省库已退</w:t>
            </w:r>
          </w:p>
        </w:tc>
        <w:tc>
          <w:tcPr>
            <w:tcW w:w="427" w:type="dxa"/>
            <w:vMerge w:val="restart"/>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eastAsia="仿宋_GB2312"/>
                <w:color w:val="000000" w:themeColor="text1"/>
                <w:kern w:val="0"/>
                <w:sz w:val="16"/>
                <w:szCs w:val="16"/>
                <w14:textFill>
                  <w14:solidFill>
                    <w14:schemeClr w14:val="tx1"/>
                  </w14:solidFill>
                </w14:textFill>
              </w:rPr>
              <w:t>市直单位</w:t>
            </w:r>
          </w:p>
        </w:tc>
        <w:tc>
          <w:tcPr>
            <w:tcW w:w="1997" w:type="dxa"/>
            <w:vAlign w:val="center"/>
          </w:tcPr>
          <w:p>
            <w:pPr>
              <w:spacing w:line="200" w:lineRule="exact"/>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溧阳至宁德高速公路（G4012）浙江景宁至文成段（文成段）</w:t>
            </w:r>
          </w:p>
        </w:tc>
        <w:tc>
          <w:tcPr>
            <w:tcW w:w="567"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hint="eastAsia" w:eastAsia="仿宋_GB2312"/>
                <w:b/>
                <w:color w:val="000000" w:themeColor="text1"/>
                <w:kern w:val="0"/>
                <w:sz w:val="16"/>
                <w:szCs w:val="16"/>
                <w14:textFill>
                  <w14:solidFill>
                    <w14:schemeClr w14:val="tx1"/>
                  </w14:solidFill>
                </w14:textFill>
              </w:rPr>
              <w:t>11</w:t>
            </w:r>
          </w:p>
        </w:tc>
        <w:tc>
          <w:tcPr>
            <w:tcW w:w="425" w:type="dxa"/>
            <w:vAlign w:val="center"/>
          </w:tcPr>
          <w:p>
            <w:pPr>
              <w:spacing w:line="200" w:lineRule="exact"/>
              <w:jc w:val="center"/>
              <w:rPr>
                <w:rFonts w:eastAsia="仿宋_GB2312"/>
                <w:b/>
                <w:color w:val="000000" w:themeColor="text1"/>
                <w:kern w:val="0"/>
                <w:sz w:val="16"/>
                <w:szCs w:val="16"/>
                <w14:textFill>
                  <w14:solidFill>
                    <w14:schemeClr w14:val="tx1"/>
                  </w14:solidFill>
                </w14:textFill>
              </w:rPr>
            </w:pPr>
            <w:r>
              <w:rPr>
                <w:rFonts w:eastAsia="仿宋_GB2312"/>
                <w:b/>
                <w:color w:val="000000" w:themeColor="text1"/>
                <w:kern w:val="0"/>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温州健康产业创新中心</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Merge w:val="continue"/>
            <w:vAlign w:val="center"/>
          </w:tcPr>
          <w:p>
            <w:pPr>
              <w:spacing w:line="200" w:lineRule="exact"/>
              <w:rPr>
                <w:rFonts w:eastAsia="仿宋_GB2312"/>
                <w:color w:val="000000" w:themeColor="text1"/>
                <w:kern w:val="0"/>
                <w:sz w:val="16"/>
                <w:szCs w:val="16"/>
                <w14:textFill>
                  <w14:solidFill>
                    <w14:schemeClr w14:val="tx1"/>
                  </w14:solidFill>
                </w14:textFill>
              </w:rPr>
            </w:pPr>
          </w:p>
        </w:tc>
        <w:tc>
          <w:tcPr>
            <w:tcW w:w="567" w:type="dxa"/>
            <w:vMerge w:val="continue"/>
            <w:vAlign w:val="center"/>
          </w:tcPr>
          <w:p>
            <w:pPr>
              <w:spacing w:line="200" w:lineRule="exact"/>
              <w:jc w:val="center"/>
              <w:rPr>
                <w:rFonts w:cs="宋体"/>
                <w:color w:val="000000" w:themeColor="text1"/>
                <w:kern w:val="0"/>
                <w:sz w:val="18"/>
                <w:szCs w:val="18"/>
                <w14:textFill>
                  <w14:solidFill>
                    <w14:schemeClr w14:val="tx1"/>
                  </w14:solidFill>
                </w14:textFill>
              </w:rPr>
            </w:pPr>
          </w:p>
        </w:tc>
        <w:tc>
          <w:tcPr>
            <w:tcW w:w="411" w:type="dxa"/>
            <w:vMerge w:val="continue"/>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温州市动车南站西广场道路及配套工程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洞头区</w:t>
            </w: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紫菜现代产业园</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永嘉县水门路工程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双龙路（南浦路-龙方路段）一期道路桥梁工程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温州交通城建工业化生产基地</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永嘉县职业教育中心一期工程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温州市龟湖街坊建设工程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24"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诚意药业医药健康产业园</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397"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2011"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永嘉县桥头镇菇溪河道综合治理六期工程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411" w:type="dxa"/>
            <w:tcBorders>
              <w:right w:val="double" w:color="auto" w:sz="4" w:space="0"/>
            </w:tcBorders>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427" w:type="dxa"/>
            <w:vMerge w:val="continue"/>
            <w:tcBorders>
              <w:left w:val="double" w:color="auto" w:sz="4" w:space="0"/>
            </w:tcBorders>
            <w:vAlign w:val="center"/>
          </w:tcPr>
          <w:p>
            <w:pPr>
              <w:spacing w:line="200" w:lineRule="exact"/>
              <w:jc w:val="center"/>
              <w:rPr>
                <w:rFonts w:eastAsia="仿宋_GB2312"/>
                <w:color w:val="000000" w:themeColor="text1"/>
                <w:kern w:val="0"/>
                <w:sz w:val="16"/>
                <w:szCs w:val="16"/>
                <w14:textFill>
                  <w14:solidFill>
                    <w14:schemeClr w14:val="tx1"/>
                  </w14:solidFill>
                </w14:textFill>
              </w:rPr>
            </w:pPr>
          </w:p>
        </w:tc>
        <w:tc>
          <w:tcPr>
            <w:tcW w:w="1997" w:type="dxa"/>
            <w:vAlign w:val="center"/>
          </w:tcPr>
          <w:p>
            <w:pPr>
              <w:spacing w:line="200" w:lineRule="exact"/>
              <w:rPr>
                <w:rFonts w:eastAsia="仿宋_GB2312"/>
                <w:color w:val="000000" w:themeColor="text1"/>
                <w:kern w:val="0"/>
                <w:sz w:val="16"/>
                <w:szCs w:val="16"/>
                <w14:textFill>
                  <w14:solidFill>
                    <w14:schemeClr w14:val="tx1"/>
                  </w14:solidFill>
                </w14:textFill>
              </w:rPr>
            </w:pPr>
            <w:r>
              <w:rPr>
                <w:rFonts w:hint="eastAsia" w:eastAsia="仿宋_GB2312"/>
                <w:color w:val="000000" w:themeColor="text1"/>
                <w:kern w:val="0"/>
                <w:sz w:val="16"/>
                <w:szCs w:val="16"/>
                <w14:textFill>
                  <w14:solidFill>
                    <w14:schemeClr w14:val="tx1"/>
                  </w14:solidFill>
                </w14:textFill>
              </w:rPr>
              <w:t>温州奥林匹克体育中心-主体育场二期工程</w:t>
            </w:r>
          </w:p>
        </w:tc>
        <w:tc>
          <w:tcPr>
            <w:tcW w:w="567"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425" w:type="dxa"/>
            <w:vAlign w:val="center"/>
          </w:tcPr>
          <w:p>
            <w:pPr>
              <w:spacing w:line="200" w:lineRule="exact"/>
              <w:jc w:val="center"/>
              <w:rPr>
                <w:rFonts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r>
    </w:tbl>
    <w:p>
      <w:pPr>
        <w:spacing w:line="600" w:lineRule="exact"/>
        <w:jc w:val="left"/>
        <w:rPr>
          <w:rFonts w:eastAsia="黑体"/>
          <w:kern w:val="0"/>
          <w:sz w:val="36"/>
          <w:szCs w:val="36"/>
        </w:rPr>
      </w:pPr>
      <w:r>
        <w:rPr>
          <w:rFonts w:hint="eastAsia" w:eastAsia="黑体"/>
          <w:kern w:val="0"/>
          <w:sz w:val="32"/>
          <w:szCs w:val="32"/>
        </w:rPr>
        <w:t>附件6</w:t>
      </w:r>
    </w:p>
    <w:p>
      <w:pPr>
        <w:spacing w:after="120" w:afterLines="50" w:line="600" w:lineRule="exact"/>
        <w:jc w:val="center"/>
        <w:rPr>
          <w:rFonts w:eastAsia="方正小标宋简体"/>
          <w:kern w:val="0"/>
          <w:sz w:val="36"/>
          <w:szCs w:val="36"/>
        </w:rPr>
      </w:pPr>
      <w:r>
        <w:rPr>
          <w:rFonts w:hint="eastAsia" w:eastAsia="方正小标宋简体"/>
          <w:kern w:val="0"/>
          <w:sz w:val="36"/>
          <w:szCs w:val="36"/>
        </w:rPr>
        <w:t>市四套班子领导挂钩联系重大项目完成情况表</w:t>
      </w:r>
      <w:r>
        <w:rPr>
          <w:rFonts w:hint="eastAsia" w:eastAsia="楷体_GB2312"/>
          <w:kern w:val="0"/>
          <w:sz w:val="32"/>
          <w:szCs w:val="32"/>
        </w:rPr>
        <w:t>（1-11月）</w:t>
      </w:r>
    </w:p>
    <w:p>
      <w:pPr>
        <w:spacing w:line="300" w:lineRule="exact"/>
        <w:ind w:right="210"/>
        <w:jc w:val="right"/>
        <w:rPr>
          <w:rFonts w:eastAsia="楷体_GB2312"/>
          <w:kern w:val="0"/>
          <w:szCs w:val="21"/>
        </w:rPr>
      </w:pPr>
      <w:r>
        <w:rPr>
          <w:rFonts w:hint="eastAsia" w:eastAsia="楷体_GB2312"/>
          <w:kern w:val="0"/>
          <w:szCs w:val="21"/>
        </w:rPr>
        <w:t>单位：亿元、%</w:t>
      </w:r>
    </w:p>
    <w:tbl>
      <w:tblPr>
        <w:tblStyle w:val="8"/>
        <w:tblW w:w="1016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1824"/>
        <w:gridCol w:w="686"/>
        <w:gridCol w:w="709"/>
        <w:gridCol w:w="286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397" w:type="dxa"/>
            <w:vMerge w:val="restart"/>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序号</w:t>
            </w:r>
          </w:p>
        </w:tc>
        <w:tc>
          <w:tcPr>
            <w:tcW w:w="1824" w:type="dxa"/>
            <w:vMerge w:val="restart"/>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项目名称</w:t>
            </w:r>
          </w:p>
        </w:tc>
        <w:tc>
          <w:tcPr>
            <w:tcW w:w="1395" w:type="dxa"/>
            <w:gridSpan w:val="2"/>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投资额情况</w:t>
            </w:r>
          </w:p>
        </w:tc>
        <w:tc>
          <w:tcPr>
            <w:tcW w:w="6546" w:type="dxa"/>
            <w:gridSpan w:val="2"/>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形象进度情况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397" w:type="dxa"/>
            <w:vMerge w:val="continue"/>
            <w:tcBorders>
              <w:tl2br w:val="nil"/>
              <w:tr2bl w:val="nil"/>
            </w:tcBorders>
            <w:vAlign w:val="center"/>
          </w:tcPr>
          <w:p>
            <w:pPr>
              <w:widowControl/>
              <w:jc w:val="left"/>
              <w:rPr>
                <w:rFonts w:eastAsia="黑体"/>
                <w:color w:val="000000"/>
                <w:kern w:val="0"/>
                <w:sz w:val="18"/>
                <w:szCs w:val="18"/>
              </w:rPr>
            </w:pPr>
          </w:p>
        </w:tc>
        <w:tc>
          <w:tcPr>
            <w:tcW w:w="1824" w:type="dxa"/>
            <w:vMerge w:val="continue"/>
            <w:tcBorders>
              <w:tl2br w:val="nil"/>
              <w:tr2bl w:val="nil"/>
            </w:tcBorders>
            <w:vAlign w:val="center"/>
          </w:tcPr>
          <w:p>
            <w:pPr>
              <w:widowControl/>
              <w:jc w:val="left"/>
              <w:rPr>
                <w:rFonts w:eastAsia="黑体"/>
                <w:color w:val="000000"/>
                <w:kern w:val="0"/>
                <w:sz w:val="18"/>
                <w:szCs w:val="18"/>
              </w:rPr>
            </w:pPr>
          </w:p>
        </w:tc>
        <w:tc>
          <w:tcPr>
            <w:tcW w:w="686" w:type="dxa"/>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spacing w:val="0"/>
                <w:w w:val="75"/>
                <w:kern w:val="0"/>
                <w:sz w:val="18"/>
                <w:szCs w:val="18"/>
                <w:fitText w:val="540" w:id="-1764049326"/>
              </w:rPr>
              <w:t>年度计划</w:t>
            </w:r>
          </w:p>
        </w:tc>
        <w:tc>
          <w:tcPr>
            <w:tcW w:w="709" w:type="dxa"/>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spacing w:val="1"/>
                <w:w w:val="83"/>
                <w:kern w:val="0"/>
                <w:sz w:val="18"/>
                <w:szCs w:val="18"/>
                <w:fitText w:val="450" w:id="1"/>
              </w:rPr>
              <w:t>完成</w:t>
            </w:r>
            <w:r>
              <w:rPr>
                <w:rFonts w:eastAsia="黑体"/>
                <w:color w:val="000000"/>
                <w:spacing w:val="0"/>
                <w:w w:val="83"/>
                <w:kern w:val="0"/>
                <w:sz w:val="18"/>
                <w:szCs w:val="18"/>
                <w:fitText w:val="450" w:id="1"/>
              </w:rPr>
              <w:t>率</w:t>
            </w:r>
          </w:p>
        </w:tc>
        <w:tc>
          <w:tcPr>
            <w:tcW w:w="2860" w:type="dxa"/>
            <w:tcBorders>
              <w:tl2br w:val="nil"/>
              <w:tr2bl w:val="nil"/>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年度要求</w:t>
            </w:r>
          </w:p>
        </w:tc>
        <w:tc>
          <w:tcPr>
            <w:tcW w:w="3686" w:type="dxa"/>
            <w:tcBorders>
              <w:tl2br w:val="nil"/>
              <w:tr2bl w:val="nil"/>
            </w:tcBorders>
            <w:shd w:val="clear" w:color="auto" w:fill="auto"/>
            <w:vAlign w:val="center"/>
          </w:tcPr>
          <w:p>
            <w:pPr>
              <w:widowControl/>
              <w:jc w:val="center"/>
              <w:rPr>
                <w:rFonts w:eastAsia="黑体"/>
                <w:kern w:val="0"/>
                <w:sz w:val="18"/>
                <w:szCs w:val="18"/>
              </w:rPr>
            </w:pPr>
            <w:r>
              <w:rPr>
                <w:rFonts w:eastAsia="黑体"/>
                <w:kern w:val="0"/>
                <w:sz w:val="18"/>
                <w:szCs w:val="18"/>
              </w:rPr>
              <w:t>11月止完成进度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SG5标江北工作井及江中盾构段，SG6标机场段明挖区地下连续墙95幅，SG7标桩基20根。完成S2线瓯江口区SG5标九村村地面附着物清点，瑞安市上望街道59804平方米房屋拆迁协议签订等相关工作。完成S2线滨海大道污水主干管迁改工程施工许可证办理、绿化迁改审批及道路开挖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109.5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跨线桥、主体项目（市政、景观、建筑立面）基本完工，设计调整区域扫尾施工；二期工程前期工作继续推进。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142.9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hint="eastAsia" w:ascii="宋体" w:hAnsi="宋体" w:cs="宋体"/>
                <w:color w:val="000000"/>
                <w:kern w:val="0"/>
                <w:sz w:val="18"/>
                <w:szCs w:val="18"/>
              </w:rPr>
              <w:t>Ⅰ</w:t>
            </w:r>
            <w:r>
              <w:rPr>
                <w:rFonts w:eastAsia="仿宋_GB2312"/>
                <w:color w:val="000000"/>
                <w:kern w:val="0"/>
                <w:sz w:val="18"/>
                <w:szCs w:val="18"/>
              </w:rPr>
              <w:t>工区完成50%的主体工程，</w:t>
            </w:r>
            <w:r>
              <w:rPr>
                <w:rFonts w:hint="eastAsia" w:ascii="宋体" w:hAnsi="宋体" w:cs="宋体"/>
                <w:color w:val="000000"/>
                <w:kern w:val="0"/>
                <w:sz w:val="18"/>
                <w:szCs w:val="18"/>
              </w:rPr>
              <w:t>Ⅱ</w:t>
            </w:r>
            <w:r>
              <w:rPr>
                <w:rFonts w:eastAsia="仿宋_GB2312"/>
                <w:color w:val="000000"/>
                <w:kern w:val="0"/>
                <w:sz w:val="18"/>
                <w:szCs w:val="18"/>
              </w:rPr>
              <w:t>、</w:t>
            </w:r>
            <w:r>
              <w:rPr>
                <w:rFonts w:hint="eastAsia" w:ascii="宋体" w:hAnsi="宋体" w:cs="宋体"/>
                <w:color w:val="000000"/>
                <w:kern w:val="0"/>
                <w:sz w:val="18"/>
                <w:szCs w:val="18"/>
              </w:rPr>
              <w:t>Ⅲ</w:t>
            </w:r>
            <w:r>
              <w:rPr>
                <w:rFonts w:eastAsia="仿宋_GB2312"/>
                <w:color w:val="000000"/>
                <w:kern w:val="0"/>
                <w:sz w:val="18"/>
                <w:szCs w:val="18"/>
              </w:rPr>
              <w:t>工区完成主体工程建设，</w:t>
            </w:r>
            <w:r>
              <w:rPr>
                <w:rFonts w:hint="eastAsia" w:ascii="宋体" w:hAnsi="宋体" w:cs="宋体"/>
                <w:color w:val="000000"/>
                <w:kern w:val="0"/>
                <w:sz w:val="18"/>
                <w:szCs w:val="18"/>
              </w:rPr>
              <w:t>Ⅳ</w:t>
            </w:r>
            <w:r>
              <w:rPr>
                <w:rFonts w:eastAsia="仿宋_GB2312"/>
                <w:color w:val="000000"/>
                <w:kern w:val="0"/>
                <w:sz w:val="18"/>
                <w:szCs w:val="18"/>
              </w:rPr>
              <w:t>工区完成景观绿化。</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hint="eastAsia" w:ascii="宋体" w:hAnsi="宋体" w:cs="宋体"/>
                <w:kern w:val="0"/>
                <w:sz w:val="18"/>
                <w:szCs w:val="18"/>
              </w:rPr>
              <w:t>Ⅰ</w:t>
            </w:r>
            <w:r>
              <w:rPr>
                <w:rFonts w:eastAsia="仿宋_GB2312"/>
                <w:kern w:val="0"/>
                <w:sz w:val="18"/>
                <w:szCs w:val="18"/>
              </w:rPr>
              <w:t>工区完成50%的主体工程；</w:t>
            </w:r>
            <w:r>
              <w:rPr>
                <w:rFonts w:hint="eastAsia" w:ascii="宋体" w:hAnsi="宋体" w:cs="宋体"/>
                <w:kern w:val="0"/>
                <w:sz w:val="18"/>
                <w:szCs w:val="18"/>
              </w:rPr>
              <w:t>Ⅱ</w:t>
            </w:r>
            <w:r>
              <w:rPr>
                <w:rFonts w:eastAsia="仿宋_GB2312"/>
                <w:kern w:val="0"/>
                <w:sz w:val="18"/>
                <w:szCs w:val="18"/>
              </w:rPr>
              <w:t>、</w:t>
            </w:r>
            <w:r>
              <w:rPr>
                <w:rFonts w:hint="eastAsia" w:ascii="宋体" w:hAnsi="宋体" w:cs="宋体"/>
                <w:kern w:val="0"/>
                <w:sz w:val="18"/>
                <w:szCs w:val="18"/>
              </w:rPr>
              <w:t>Ⅲ</w:t>
            </w:r>
            <w:r>
              <w:rPr>
                <w:rFonts w:eastAsia="仿宋_GB2312"/>
                <w:kern w:val="0"/>
                <w:sz w:val="18"/>
                <w:szCs w:val="18"/>
              </w:rPr>
              <w:t>工区完成主体工程建设，通过单位工程验收；</w:t>
            </w:r>
            <w:r>
              <w:rPr>
                <w:rFonts w:hint="eastAsia" w:ascii="宋体" w:hAnsi="宋体" w:cs="宋体"/>
                <w:kern w:val="0"/>
                <w:sz w:val="18"/>
                <w:szCs w:val="18"/>
              </w:rPr>
              <w:t>Ⅳ</w:t>
            </w:r>
            <w:r>
              <w:rPr>
                <w:rFonts w:eastAsia="仿宋_GB2312"/>
                <w:kern w:val="0"/>
                <w:sz w:val="18"/>
                <w:szCs w:val="18"/>
              </w:rPr>
              <w:t>工区完成主体工程、景观绿化，通过单位暨合同工程完工验收。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瑞浦能源动力电池产业园*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一期2栋生产车间完成主体结顶、厂房内部装修和生产线安装，研发办公楼和宿舍楼主体建至5层。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乐清湾港区铁路支线*</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xml:space="preserve">全线工点全部开工，累计97个。完成桥梁97.1%，隧道99.5%，路基土石方87.9%；架设T梁71孔，正线铺轨10881.5米，正线上砟12522方；绅坊站房建工程完成68%，白石站开工。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温州浙南科技城创新创业新天地项目*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一期内幕墙、室外附属设施施工；二期6#楼结顶；三期桩基施工。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完成初步设计，防洪、环评、水保等专题批复；完成全线土地勘查定界报告，土地报批组建相关工作全面展开；完成控制性工程施工图审查，组织全线施工图审查，启动招标；成立项目SPV公司。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温州市七都大桥北汊桥</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南岸第五联箱梁、北岸第一联箱梁施工，水中桩完成80%。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中石化温州液化天然气（LNG）项目（含场平工程）*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57.7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场平工程准备退场，料场开采准备进场。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169.0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138.6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1#核岛及周边区域开挖46万方；C区回填30万方，A2区回填7万方，柳垅虾塘+13米标高强夯完成14%；C2、C3区点夯完成99%，满夯完成93%；温厝隧道掘进1447m，剩余78m，新厝隧道电缆沟及路面基层完工。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97" w:type="dxa"/>
            <w:tcBorders>
              <w:bottom w:val="single" w:color="auto" w:sz="4" w:space="0"/>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824" w:type="dxa"/>
            <w:tcBorders>
              <w:bottom w:val="single" w:color="auto" w:sz="4" w:space="0"/>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温州生态园三</w:t>
            </w:r>
            <w:r>
              <w:rPr>
                <w:kern w:val="0"/>
                <w:sz w:val="18"/>
                <w:szCs w:val="18"/>
              </w:rPr>
              <w:t>垟</w:t>
            </w:r>
            <w:r>
              <w:rPr>
                <w:rFonts w:eastAsia="仿宋_GB2312"/>
                <w:kern w:val="0"/>
                <w:sz w:val="18"/>
                <w:szCs w:val="18"/>
              </w:rPr>
              <w:t>城市湿地公园建设工程</w:t>
            </w:r>
          </w:p>
        </w:tc>
        <w:tc>
          <w:tcPr>
            <w:tcW w:w="686" w:type="dxa"/>
            <w:tcBorders>
              <w:bottom w:val="single" w:color="auto" w:sz="4" w:space="0"/>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9" w:type="dxa"/>
            <w:tcBorders>
              <w:bottom w:val="single" w:color="auto" w:sz="4" w:space="0"/>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2860" w:type="dxa"/>
            <w:tcBorders>
              <w:bottom w:val="single" w:color="auto" w:sz="4" w:space="0"/>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686" w:type="dxa"/>
            <w:tcBorders>
              <w:bottom w:val="single" w:color="auto" w:sz="4" w:space="0"/>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三</w:t>
            </w:r>
            <w:r>
              <w:rPr>
                <w:kern w:val="0"/>
                <w:sz w:val="18"/>
                <w:szCs w:val="18"/>
              </w:rPr>
              <w:t>垟</w:t>
            </w:r>
            <w:r>
              <w:rPr>
                <w:rFonts w:eastAsia="仿宋_GB2312"/>
                <w:kern w:val="0"/>
                <w:sz w:val="18"/>
                <w:szCs w:val="18"/>
              </w:rPr>
              <w:t>湿地一期主环线园路等12个项目施工中；生态保育区、城市休闲片区生态建设工程一期完成施工招投标，项目部搭设中；西出入口改造提升处于优化方案阶段，西北入口</w:t>
            </w:r>
            <w:r>
              <w:rPr>
                <w:rFonts w:hint="eastAsia" w:eastAsia="仿宋_GB2312"/>
                <w:kern w:val="0"/>
                <w:sz w:val="18"/>
                <w:szCs w:val="18"/>
              </w:rPr>
              <w:t>工程</w:t>
            </w:r>
            <w:r>
              <w:rPr>
                <w:rFonts w:eastAsia="仿宋_GB2312"/>
                <w:kern w:val="0"/>
                <w:sz w:val="18"/>
                <w:szCs w:val="18"/>
              </w:rPr>
              <w:t>完成施工图审查合格备案。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0162" w:type="dxa"/>
            <w:gridSpan w:val="6"/>
            <w:tcBorders>
              <w:top w:val="single" w:color="auto" w:sz="4" w:space="0"/>
              <w:left w:val="nil"/>
              <w:bottom w:val="nil"/>
              <w:right w:val="nil"/>
              <w:tl2br w:val="nil"/>
              <w:tr2bl w:val="nil"/>
            </w:tcBorders>
            <w:shd w:val="clear" w:color="auto" w:fill="auto"/>
            <w:vAlign w:val="center"/>
          </w:tcPr>
          <w:p>
            <w:pPr>
              <w:spacing w:line="240" w:lineRule="atLeast"/>
              <w:rPr>
                <w:rFonts w:eastAsia="仿宋_GB2312"/>
                <w:kern w:val="0"/>
                <w:sz w:val="18"/>
                <w:szCs w:val="18"/>
              </w:rPr>
            </w:pPr>
            <w:r>
              <w:rPr>
                <w:rFonts w:hint="eastAsia" w:eastAsia="黑体" w:cstheme="majorEastAsia"/>
                <w:szCs w:val="21"/>
              </w:rPr>
              <w:t>注：带</w:t>
            </w:r>
            <w:r>
              <w:rPr>
                <w:rFonts w:eastAsia="黑体" w:cstheme="majorEastAsia"/>
                <w:szCs w:val="21"/>
              </w:rPr>
              <w:t>*</w:t>
            </w:r>
            <w:r>
              <w:rPr>
                <w:rFonts w:hint="eastAsia" w:eastAsia="黑体" w:cstheme="majorEastAsia"/>
                <w:szCs w:val="21"/>
              </w:rPr>
              <w:t>项目为省“4+1”重大项目。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97" w:type="dxa"/>
            <w:tcBorders>
              <w:top w:val="nil"/>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824" w:type="dxa"/>
            <w:tcBorders>
              <w:top w:val="nil"/>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eastAsia="仿宋_GB2312"/>
                <w:color w:val="000000"/>
                <w:kern w:val="0"/>
                <w:sz w:val="18"/>
                <w:szCs w:val="18"/>
              </w:rPr>
              <w:t>平原排涝工程</w:t>
            </w:r>
          </w:p>
          <w:p>
            <w:pPr>
              <w:widowControl/>
              <w:jc w:val="left"/>
              <w:rPr>
                <w:rFonts w:eastAsia="仿宋_GB2312"/>
                <w:color w:val="000000"/>
                <w:kern w:val="0"/>
                <w:sz w:val="18"/>
                <w:szCs w:val="18"/>
              </w:rPr>
            </w:pPr>
            <w:r>
              <w:rPr>
                <w:rFonts w:eastAsia="仿宋_GB2312"/>
                <w:color w:val="000000"/>
                <w:kern w:val="0"/>
                <w:sz w:val="18"/>
                <w:szCs w:val="18"/>
              </w:rPr>
              <w:t>（苍南一期）</w:t>
            </w:r>
          </w:p>
        </w:tc>
        <w:tc>
          <w:tcPr>
            <w:tcW w:w="686" w:type="dxa"/>
            <w:tcBorders>
              <w:top w:val="nil"/>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9" w:type="dxa"/>
            <w:tcBorders>
              <w:top w:val="nil"/>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101.4 </w:t>
            </w:r>
          </w:p>
        </w:tc>
        <w:tc>
          <w:tcPr>
            <w:tcW w:w="2860" w:type="dxa"/>
            <w:tcBorders>
              <w:top w:val="nil"/>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686" w:type="dxa"/>
            <w:tcBorders>
              <w:top w:val="nil"/>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完成PPP入库、工可批复、工程初设审查；灵溪泵站应急工程开工建设。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120.5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一区有两栋建筑结顶；三区有两栋结顶；四区（立洲）主体工程结束，进行主体附属工程建设；其余二区、五区、六区均开工建设，有序推进中。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115.0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52幢基础全部完成，结顶15幢，其他厂房建至1到5层不等。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温州健康产业创新中心</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68.4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A栋一层施工，B栋地下室支撑梁及土方开挖。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151.4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B-11a地块完成主楼砌体工程，装修装饰工程地下室部分；B-15地块主体结构完成13-16层；B-17b地块、B-18a地块主体结构完成5-8层。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269.8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eastAsia="仿宋_GB2312"/>
                <w:color w:val="000000"/>
                <w:kern w:val="0"/>
                <w:sz w:val="18"/>
                <w:szCs w:val="18"/>
              </w:rPr>
              <w:t>；隧道、桥梁等控制性工程全面开工。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完成路基9%，桥梁9%，隧道工程9%。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279.6 </w:t>
            </w:r>
          </w:p>
        </w:tc>
        <w:tc>
          <w:tcPr>
            <w:tcW w:w="2860" w:type="dxa"/>
            <w:tcBorders>
              <w:tl2br w:val="nil"/>
              <w:tr2bl w:val="nil"/>
            </w:tcBorders>
            <w:shd w:val="clear" w:color="auto" w:fill="auto"/>
            <w:vAlign w:val="center"/>
          </w:tcPr>
          <w:p>
            <w:pPr>
              <w:widowControl/>
              <w:rPr>
                <w:rFonts w:eastAsia="仿宋_GB2312"/>
                <w:kern w:val="0"/>
                <w:sz w:val="18"/>
                <w:szCs w:val="18"/>
              </w:rPr>
            </w:pPr>
            <w:r>
              <w:rPr>
                <w:rFonts w:eastAsia="仿宋_GB2312"/>
                <w:kern w:val="0"/>
                <w:sz w:val="18"/>
                <w:szCs w:val="18"/>
              </w:rPr>
              <w:t>4月开工。项目部建设；上报土地审批手续及办理施工许可证；拆迁2万</w:t>
            </w:r>
            <w:r>
              <w:rPr>
                <w:kern w:val="0"/>
                <w:sz w:val="18"/>
                <w:szCs w:val="18"/>
              </w:rPr>
              <w:t>㎡</w:t>
            </w:r>
            <w:r>
              <w:rPr>
                <w:rFonts w:eastAsia="仿宋_GB2312"/>
                <w:kern w:val="0"/>
                <w:sz w:val="18"/>
                <w:szCs w:val="18"/>
              </w:rPr>
              <w:t>；控制点（隧道、桥梁）等开工。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完成桥梁8%，隧道工程8%，路基8%。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103.1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完成珠岙轻工园主体验收、幕墙、附属工程完成85%、电梯安装80%，空调、太阳能施工中；珠岙流程园有4幢室内水电、门窗安装，有3幢主体施工，有1幢打桩</w:t>
            </w:r>
            <w:r>
              <w:rPr>
                <w:rFonts w:hint="eastAsia" w:eastAsia="仿宋_GB2312"/>
                <w:kern w:val="0"/>
                <w:sz w:val="18"/>
                <w:szCs w:val="18"/>
              </w:rPr>
              <w:t>；</w:t>
            </w:r>
            <w:r>
              <w:rPr>
                <w:rFonts w:eastAsia="仿宋_GB2312"/>
                <w:kern w:val="0"/>
                <w:sz w:val="18"/>
                <w:szCs w:val="18"/>
              </w:rPr>
              <w:t>罗浮流程园东地块桩基完成50%，西地块场地平整；塘头铸造园场地平整。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昆阳镇段（城东段）进行松木桩及驳坎施工，完成河道整治2.23公里。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91.2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完成桩基施工、地下室工程量26%。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192.7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一期厂房主体建成，装饰装修完成约90%；二期主体建成。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w:t>
            </w:r>
            <w:r>
              <w:rPr>
                <w:rFonts w:eastAsia="仿宋_GB2312"/>
                <w:kern w:val="0"/>
                <w:sz w:val="18"/>
                <w:szCs w:val="18"/>
              </w:rPr>
              <w:t>总体11.5%，路基1%，桥梁2%，隧道2%，其他费用70.6%。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文成县下沙</w:t>
            </w:r>
            <w:r>
              <w:rPr>
                <w:kern w:val="0"/>
                <w:sz w:val="18"/>
                <w:szCs w:val="18"/>
              </w:rPr>
              <w:t>垟</w:t>
            </w:r>
            <w:r>
              <w:rPr>
                <w:rFonts w:eastAsia="仿宋_GB2312"/>
                <w:kern w:val="0"/>
                <w:sz w:val="18"/>
                <w:szCs w:val="18"/>
              </w:rPr>
              <w:t>城中村项目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79.8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完成土方外运工程85%，边坡削坡工程90%，边坡锚杆工程70%,格沟梁工程65%，边坡抗滑桩工程52%，工程桩工程16.3%。现场临时设施及安全设施根据现场进度设置。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134.6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1#工区导流洞出口临时道路贯通，导流洞土石方明挖开始；岭泰隧洞进口洞挖、支护完成135.9m；樟岭隧洞出口洞挖、支护完成144m；共进尺440m。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92.9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完成路基工程46.35%，桥梁桩基工程13根，隧道工程进尺166米。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147.7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一期主体结构基本完成，砌筑工程施工，外墙、内墙抹灰，门窗施工；二期打桩基本完成，承台地梁开挖施工，基础回填，浇垫层。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虹桥电子信息产业园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82.8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三通一平已完成。15家企业入驻开工。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乐清经济开发区智能科技产业园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76.0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入驻企业增至79家。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92.2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1标段：学生宿舍室内地砖、斜屋面瓦片完成；教学楼外墙砖、粉刷完成。2标段：学生宿舍室内地砖完成50%，教学楼外墙粉刷、外墙砖完成50%。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168.0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主体阶段结束，进入装修阶段。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主体结顶，处于附属建设阶段。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116.7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厂房全部结顶，处于附属建设阶段。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龙江路电力线上改下迁改工程（中心区段）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102.7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管桩施工，拉森钢板桩施工;k1+212-k1+272管廊顶板浇砼，K0+876.518～K0+936.518、k1+273.536-k1+308.536、永宁西路口底板浇砼</w:t>
            </w:r>
            <w:r>
              <w:rPr>
                <w:rFonts w:hint="eastAsia" w:eastAsia="仿宋_GB2312"/>
                <w:kern w:val="0"/>
                <w:sz w:val="18"/>
                <w:szCs w:val="18"/>
              </w:rPr>
              <w:t>；</w:t>
            </w:r>
            <w:r>
              <w:rPr>
                <w:rFonts w:eastAsia="仿宋_GB2312"/>
                <w:kern w:val="0"/>
                <w:sz w:val="18"/>
                <w:szCs w:val="18"/>
              </w:rPr>
              <w:t>电力、综合通信、燃气迁改;土方外运;沉井施工。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180.9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桥梁驳坎工程C25钢筋砼底板95%，景观亭预留柱、钢筋砼联系梁100%，浆砌块石81.25%。办公楼G-17b4地块工程完成桩基施工共144根，围护桩10根，水泥搅拌桩275组。安置房G-18、G-21b、G-22地块场地平整、配电房和临设搭设及门头形象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112.3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1标段工程全部结顶，安装工程、室外景观附属工程施工中</w:t>
            </w:r>
            <w:r>
              <w:rPr>
                <w:rFonts w:hint="eastAsia" w:eastAsia="仿宋_GB2312"/>
                <w:kern w:val="0"/>
                <w:sz w:val="18"/>
                <w:szCs w:val="18"/>
              </w:rPr>
              <w:t>。</w:t>
            </w:r>
            <w:r>
              <w:rPr>
                <w:rFonts w:eastAsia="仿宋_GB2312"/>
                <w:kern w:val="0"/>
                <w:sz w:val="18"/>
                <w:szCs w:val="18"/>
              </w:rPr>
              <w:t>2标段厂房结顶，部分楼栋完成安装工程。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346.2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w:t>
            </w:r>
            <w:r>
              <w:rPr>
                <w:rFonts w:hint="eastAsia" w:eastAsia="仿宋_GB2312"/>
                <w:kern w:val="0"/>
                <w:sz w:val="18"/>
                <w:szCs w:val="18"/>
              </w:rPr>
              <w:t>凤</w:t>
            </w:r>
            <w:r>
              <w:rPr>
                <w:rFonts w:eastAsia="仿宋_GB2312"/>
                <w:kern w:val="0"/>
                <w:sz w:val="18"/>
                <w:szCs w:val="18"/>
              </w:rPr>
              <w:t>凰路（滨江大道～腾达路）路面基层，凤凰路一号桥桥梁桩基工程，腾达路、河南路、闻涛路、万松东路桩基工程；望海路、望湖路在做桩基工程。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195.6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686" w:type="dxa"/>
            <w:tcBorders>
              <w:tl2br w:val="nil"/>
              <w:tr2bl w:val="nil"/>
            </w:tcBorders>
            <w:shd w:val="clear" w:color="auto" w:fill="auto"/>
            <w:vAlign w:val="center"/>
          </w:tcPr>
          <w:p>
            <w:pPr>
              <w:widowControl/>
              <w:rPr>
                <w:rFonts w:eastAsia="仿宋_GB2312"/>
                <w:kern w:val="0"/>
                <w:sz w:val="18"/>
                <w:szCs w:val="18"/>
              </w:rPr>
            </w:pPr>
            <w:r>
              <w:rPr>
                <w:rFonts w:eastAsia="仿宋_GB2312"/>
                <w:kern w:val="0"/>
                <w:sz w:val="18"/>
                <w:szCs w:val="18"/>
              </w:rPr>
              <w:t>会展中心项目桩基工程完成，地下室开挖、底板施工;温州设计学院创意设计基地项目桩基工程完成，检测中，冠梁制作。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传化公路港（一期）</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117.5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完成沿溪挡墙、二级沉淀池、储泥池、调质池主体工程；全部基础工程完成，进厂主管隧道进洞施工140米。进场主管完成铺设1100米。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96.4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1号楼人工挖孔桩30%，5号、6号楼完成至2层，9号、14号楼完成至3层，10号、13号、15号楼完成至1层，12号楼基础完成。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温州绕城高速公路北线二期*</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89.9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主体路基、桥梁、隧道工程基本完成。完成路面工程53.46%，交安工程78.92%，机电工程48.23%，房建工程64.88%，绿化工程24.95%，声屏障工程61.74%。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314.4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1号地块1#、2#、3#车间安装,室外场地整平，室外管道安装。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应急段桩基施工完成18%。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温州奥林匹克体育中心-主体育场二期工程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686"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完成施工总承包单位开标、施工监理单位开标、建设工程规划许可证；办理临时用水、用电等申报和施工图审查工作。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温州肯恩大学</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686" w:type="dxa"/>
            <w:tcBorders>
              <w:tl2br w:val="nil"/>
              <w:tr2bl w:val="nil"/>
            </w:tcBorders>
            <w:shd w:val="clear" w:color="auto" w:fill="auto"/>
            <w:vAlign w:val="center"/>
          </w:tcPr>
          <w:p>
            <w:pPr>
              <w:widowControl/>
              <w:rPr>
                <w:rFonts w:eastAsia="仿宋_GB2312"/>
                <w:kern w:val="0"/>
                <w:sz w:val="18"/>
                <w:szCs w:val="18"/>
              </w:rPr>
            </w:pPr>
            <w:r>
              <w:rPr>
                <w:rFonts w:eastAsia="仿宋_GB2312"/>
                <w:kern w:val="0"/>
                <w:sz w:val="18"/>
                <w:szCs w:val="18"/>
              </w:rPr>
              <w:t>宿舍二区：AB栋装修，水电安装中; C栋地下室顶板浇筑完成50%，钢柱钢梁施工至3层;DE栋基础浇筑完成;F1、F3栋开始基础施工；F栋北侧截水沟完成70%。</w:t>
            </w:r>
          </w:p>
          <w:p>
            <w:pPr>
              <w:widowControl/>
              <w:rPr>
                <w:rFonts w:eastAsia="仿宋_GB2312"/>
                <w:kern w:val="0"/>
                <w:sz w:val="18"/>
                <w:szCs w:val="18"/>
              </w:rPr>
            </w:pPr>
            <w:r>
              <w:rPr>
                <w:rFonts w:eastAsia="仿宋_GB2312"/>
                <w:kern w:val="0"/>
                <w:sz w:val="18"/>
                <w:szCs w:val="18"/>
              </w:rPr>
              <w:t>建筑设计学院：AB区屋面封顶，C区屋面绑扎钢筋，D区支模板。</w:t>
            </w:r>
          </w:p>
          <w:p>
            <w:pPr>
              <w:widowControl/>
              <w:rPr>
                <w:rFonts w:eastAsia="仿宋_GB2312"/>
                <w:kern w:val="0"/>
                <w:sz w:val="18"/>
                <w:szCs w:val="18"/>
              </w:rPr>
            </w:pPr>
            <w:r>
              <w:rPr>
                <w:rFonts w:eastAsia="仿宋_GB2312"/>
                <w:kern w:val="0"/>
                <w:sz w:val="18"/>
                <w:szCs w:val="18"/>
              </w:rPr>
              <w:t>四标水渠：东侧景观石摆设，东西侧苗木种植，东西渠喷灌埋管；中水处理站基础施工。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龙丽温高速公路文成至瑞安段*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xml:space="preserve">完成路基89.55%，桥涵85.71%，隧道92.24%。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溧阳至宁德高速公路（G4012）文成至泰顺段*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 隧道工程45%。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完成路基26%，桥涵21%，隧道26.5%。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0</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完成叶胜导洞工作量67%，长度2210m；进口端导洞施工至K0+432，出口端导洞施工至K1+152；导洞洞口至主线叶麻尖隧道洞口之间便道、临溪挡墙施工中；干演便道开挖67000方，填筑35500方。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温州市瓯江口新区一期市政工程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88.9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道路：经八路、经九路全线施工，纬六路、纬七路、经十四路完成人行道，经十四路完成水稳及侧石；桥梁：环岛北路1号桥北侧完成水稳填充，经八路3号桥、经十二路2号桥、经十四路3号桥完成桥面铺装；河道：北堤湖真空预压；管廊：滨水南路管廊完成主体结构85%，PPP项目管廊完成主体结构13.0公里；绿化:纬六路、纬七路、经八路、经九路、经十四路、经八路林带绿化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204.9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工业标段：生产厂房主体和生产设备全部完工</w:t>
            </w:r>
            <w:r>
              <w:rPr>
                <w:rFonts w:hint="eastAsia" w:eastAsia="仿宋_GB2312"/>
                <w:kern w:val="0"/>
                <w:sz w:val="18"/>
                <w:szCs w:val="18"/>
              </w:rPr>
              <w:t>。</w:t>
            </w:r>
            <w:r>
              <w:rPr>
                <w:rFonts w:eastAsia="仿宋_GB2312"/>
                <w:kern w:val="0"/>
                <w:sz w:val="18"/>
                <w:szCs w:val="18"/>
              </w:rPr>
              <w:t>民用标段：工程完工验收，问题整改。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浙江合泰汽车科技有限公司汽车零部件项目</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w:t>
            </w:r>
            <w:r>
              <w:rPr>
                <w:rFonts w:hint="eastAsia" w:eastAsia="仿宋_GB2312"/>
                <w:kern w:val="0"/>
                <w:sz w:val="18"/>
                <w:szCs w:val="18"/>
              </w:rPr>
              <w:t>-</w:t>
            </w:r>
            <w:r>
              <w:rPr>
                <w:rFonts w:eastAsia="仿宋_GB2312"/>
                <w:kern w:val="0"/>
                <w:sz w:val="18"/>
                <w:szCs w:val="18"/>
              </w:rPr>
              <w:t>8#</w:t>
            </w:r>
            <w:r>
              <w:rPr>
                <w:rFonts w:hint="eastAsia" w:eastAsia="仿宋_GB2312"/>
                <w:kern w:val="0"/>
                <w:sz w:val="18"/>
                <w:szCs w:val="18"/>
              </w:rPr>
              <w:t>生产</w:t>
            </w:r>
            <w:r>
              <w:rPr>
                <w:rFonts w:eastAsia="仿宋_GB2312"/>
                <w:kern w:val="0"/>
                <w:sz w:val="18"/>
                <w:szCs w:val="18"/>
              </w:rPr>
              <w:t>车间二次结构完成，进行外墙抹灰施工；9#</w:t>
            </w:r>
            <w:r>
              <w:rPr>
                <w:rFonts w:hint="eastAsia" w:eastAsia="仿宋_GB2312"/>
                <w:kern w:val="0"/>
                <w:sz w:val="18"/>
                <w:szCs w:val="18"/>
              </w:rPr>
              <w:t>生产</w:t>
            </w:r>
            <w:r>
              <w:rPr>
                <w:rFonts w:eastAsia="仿宋_GB2312"/>
                <w:kern w:val="0"/>
                <w:sz w:val="18"/>
                <w:szCs w:val="18"/>
              </w:rPr>
              <w:t>车间1-6轴交D-A和7-15交Q-E主体完成，五层柱、层面梁板搭设；10#生产车间三层柱、四层梁板完成，四层柱、五层梁板搭设；1#2#研发车间主体结顶，二次结构施工；1#2#宿舍楼五层柱、六层梁板完成，1#宿舍楼六层柱、七层梁板搭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114.4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完成部分土方开挖、挡墙施工、灌注桩施工，应急工程二期主体工程施工。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96.7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xml:space="preserve">长浃河、娄桥河、站东河绿化施工；十八湾河护岸工程作业面移交，雄溪河已移交的500米护岸工程基本完成，站西河护岸工程累计完成200米；阳桐河累计清淤34000立方米，仙门河累计清淤140000立方米，十八湾河清淤扫尾，横河闸站底板施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115.8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完成开工标段土方开挖15%，河道桩基15%，护岸工程5%，水闸导流工程100%；东排工程一期土地报征组件材料报省国土资源厅已第四次退件，现已按退件的要求进行补件并上报省国土资源厅窗口审核。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温州市温瑞平原东片排涝工程经开区段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完成四甲浦、新川浦二期，5、6号湖泊开挖项目进场施工。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101.6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土建：主体工程除永中站出入口外均已完成，新增标段SG17标完成桩基施工；外立面装修：完成外墙砌筑99.4%</w:t>
            </w:r>
            <w:r>
              <w:rPr>
                <w:rFonts w:hint="eastAsia" w:eastAsia="仿宋_GB2312"/>
                <w:kern w:val="0"/>
                <w:sz w:val="18"/>
                <w:szCs w:val="18"/>
              </w:rPr>
              <w:t>、</w:t>
            </w:r>
            <w:r>
              <w:rPr>
                <w:rFonts w:eastAsia="仿宋_GB2312"/>
                <w:kern w:val="0"/>
                <w:sz w:val="18"/>
                <w:szCs w:val="18"/>
              </w:rPr>
              <w:t>龙骨安装96.4%，装饰面板安装86%；附属工程：声屏障、景观亮化完成，室外附属除动车南站外均完成；机电：机电安装基本完成；验收：完成开通段试运营基本条件评审工作。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128.9 </w:t>
            </w:r>
          </w:p>
        </w:tc>
        <w:tc>
          <w:tcPr>
            <w:tcW w:w="2860"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圆通、申通：厂房全部结顶，进行厂区管网铺设及部分道路硬化等附属建设。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主线土建工程基本完工。完成路面工程92.50%，交安工程90.63%，机电工程91.45%，房建工程75.40%，声屏障96.20%，绿化工程63.49%。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温州瓯江北口大桥工程*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完成桥梁总体形象进度33%，控制性中塔及基础工程80％，边塔及锚碇基础63%，南北引桥桩基础施工85%。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完成路基工程93.2%，桥梁工程96</w:t>
            </w:r>
            <w:r>
              <w:rPr>
                <w:rFonts w:hint="eastAsia" w:eastAsia="仿宋_GB2312"/>
                <w:kern w:val="0"/>
                <w:sz w:val="18"/>
                <w:szCs w:val="18"/>
              </w:rPr>
              <w:t>.0</w:t>
            </w:r>
            <w:r>
              <w:rPr>
                <w:rFonts w:eastAsia="仿宋_GB2312"/>
                <w:kern w:val="0"/>
                <w:sz w:val="18"/>
                <w:szCs w:val="18"/>
              </w:rPr>
              <w:t>%；路面工程已进场，其它后续工程已发布招标公告。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完成路基工程82</w:t>
            </w:r>
            <w:r>
              <w:rPr>
                <w:rFonts w:hint="eastAsia" w:eastAsia="仿宋_GB2312"/>
                <w:kern w:val="0"/>
                <w:sz w:val="18"/>
                <w:szCs w:val="18"/>
              </w:rPr>
              <w:t>.0</w:t>
            </w:r>
            <w:r>
              <w:rPr>
                <w:rFonts w:eastAsia="仿宋_GB2312"/>
                <w:kern w:val="0"/>
                <w:sz w:val="18"/>
                <w:szCs w:val="18"/>
              </w:rPr>
              <w:t>%，桥梁工程92.</w:t>
            </w:r>
            <w:r>
              <w:rPr>
                <w:rFonts w:hint="eastAsia" w:eastAsia="仿宋_GB2312"/>
                <w:kern w:val="0"/>
                <w:sz w:val="18"/>
                <w:szCs w:val="18"/>
              </w:rPr>
              <w:t>1</w:t>
            </w:r>
            <w:r>
              <w:rPr>
                <w:rFonts w:eastAsia="仿宋_GB2312"/>
                <w:kern w:val="0"/>
                <w:sz w:val="18"/>
                <w:szCs w:val="18"/>
              </w:rPr>
              <w:t>%，隧道工程84.</w:t>
            </w:r>
            <w:r>
              <w:rPr>
                <w:rFonts w:hint="eastAsia" w:eastAsia="仿宋_GB2312"/>
                <w:kern w:val="0"/>
                <w:sz w:val="18"/>
                <w:szCs w:val="18"/>
              </w:rPr>
              <w:t>4</w:t>
            </w:r>
            <w:r>
              <w:rPr>
                <w:rFonts w:eastAsia="仿宋_GB2312"/>
                <w:kern w:val="0"/>
                <w:sz w:val="18"/>
                <w:szCs w:val="18"/>
              </w:rPr>
              <w:t>%；路面工程施工标和后续工程监理标已进场；其他后续工程招标公告待发布。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0</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开展勘察设计招投标和模拟审批程序。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165.5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完成审计、监理单位招投标、合同签订；</w:t>
            </w:r>
            <w:r>
              <w:rPr>
                <w:rFonts w:eastAsia="仿宋_GB2312"/>
                <w:kern w:val="0"/>
                <w:sz w:val="18"/>
                <w:szCs w:val="18"/>
              </w:rPr>
              <w:br w:type="textWrapping"/>
            </w:r>
            <w:r>
              <w:rPr>
                <w:rFonts w:eastAsia="仿宋_GB2312"/>
                <w:kern w:val="0"/>
                <w:sz w:val="18"/>
                <w:szCs w:val="18"/>
              </w:rPr>
              <w:t>-K0+640-K0+000段世纪大道互通红线用地征地完成46.5亩，金乡互通（龙金大道向标头方向）新征用地全部量毕，线内房屋在评估，龙山隧道口完成坟墓迁移106座570穴；完成用地红线勘测定界图（报批版）、全线道路断面复测。完成龙山隧道口进口1200</w:t>
            </w:r>
            <w:r>
              <w:rPr>
                <w:kern w:val="0"/>
                <w:sz w:val="18"/>
                <w:szCs w:val="18"/>
              </w:rPr>
              <w:t>㎡</w:t>
            </w:r>
            <w:r>
              <w:rPr>
                <w:rFonts w:eastAsia="仿宋_GB2312"/>
                <w:kern w:val="0"/>
                <w:sz w:val="18"/>
                <w:szCs w:val="18"/>
              </w:rPr>
              <w:t>清表，路基段挖方1200m</w:t>
            </w:r>
            <w:r>
              <w:rPr>
                <w:kern w:val="0"/>
                <w:sz w:val="18"/>
                <w:szCs w:val="18"/>
              </w:rPr>
              <w:t>³</w:t>
            </w:r>
            <w:r>
              <w:rPr>
                <w:rFonts w:eastAsia="仿宋_GB2312"/>
                <w:kern w:val="0"/>
                <w:sz w:val="18"/>
                <w:szCs w:val="18"/>
              </w:rPr>
              <w:t>，156m改移道路施工；完成项目部</w:t>
            </w:r>
            <w:r>
              <w:rPr>
                <w:rFonts w:hint="eastAsia" w:eastAsia="仿宋_GB2312"/>
                <w:kern w:val="0"/>
                <w:sz w:val="18"/>
                <w:szCs w:val="18"/>
              </w:rPr>
              <w:t>和</w:t>
            </w:r>
            <w:r>
              <w:rPr>
                <w:rFonts w:eastAsia="仿宋_GB2312"/>
                <w:kern w:val="0"/>
                <w:sz w:val="18"/>
                <w:szCs w:val="18"/>
              </w:rPr>
              <w:t>三工区</w:t>
            </w:r>
            <w:r>
              <w:rPr>
                <w:rFonts w:hint="eastAsia" w:eastAsia="仿宋_GB2312"/>
                <w:kern w:val="0"/>
                <w:sz w:val="18"/>
                <w:szCs w:val="18"/>
              </w:rPr>
              <w:t>的</w:t>
            </w:r>
            <w:r>
              <w:rPr>
                <w:rFonts w:eastAsia="仿宋_GB2312"/>
                <w:kern w:val="0"/>
                <w:sz w:val="18"/>
                <w:szCs w:val="18"/>
              </w:rPr>
              <w:t>生活和办公楼房屋拼装、水电安装。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0</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完成招标工作、项目公司注册、投资协议谈判。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228国道洞头灵昆段工程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0</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完成监理招标、PPP政府采购招标；完成PPP项目公司注册相关申请工作；5台变压器全部安装完成并通过验收；沿线电力管线改迁</w:t>
            </w:r>
            <w:r>
              <w:rPr>
                <w:rFonts w:hint="eastAsia" w:eastAsia="仿宋_GB2312"/>
                <w:kern w:val="0"/>
                <w:sz w:val="18"/>
                <w:szCs w:val="18"/>
              </w:rPr>
              <w:t>工程</w:t>
            </w:r>
            <w:r>
              <w:rPr>
                <w:rFonts w:eastAsia="仿宋_GB2312"/>
                <w:kern w:val="0"/>
                <w:sz w:val="18"/>
                <w:szCs w:val="18"/>
              </w:rPr>
              <w:t>发布招标公告。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eastAsia="仿宋_GB2312"/>
                <w:color w:val="000000"/>
                <w:kern w:val="0"/>
                <w:sz w:val="18"/>
                <w:szCs w:val="18"/>
              </w:rPr>
              <w:t>至鳌江段公路工程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182.3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w:t>
            </w:r>
            <w:r>
              <w:rPr>
                <w:rFonts w:hint="eastAsia" w:eastAsia="仿宋_GB2312"/>
                <w:kern w:val="0"/>
                <w:sz w:val="18"/>
                <w:szCs w:val="18"/>
              </w:rPr>
              <w:t>工程</w:t>
            </w:r>
            <w:r>
              <w:rPr>
                <w:rFonts w:eastAsia="仿宋_GB2312"/>
                <w:kern w:val="0"/>
                <w:sz w:val="18"/>
                <w:szCs w:val="18"/>
              </w:rPr>
              <w:t>21%，桥梁</w:t>
            </w:r>
            <w:r>
              <w:rPr>
                <w:rFonts w:hint="eastAsia" w:eastAsia="仿宋_GB2312"/>
                <w:kern w:val="0"/>
                <w:sz w:val="18"/>
                <w:szCs w:val="18"/>
              </w:rPr>
              <w:t>工程</w:t>
            </w:r>
            <w:r>
              <w:rPr>
                <w:rFonts w:eastAsia="仿宋_GB2312"/>
                <w:kern w:val="0"/>
                <w:sz w:val="18"/>
                <w:szCs w:val="18"/>
              </w:rPr>
              <w:t>17%，隧道</w:t>
            </w:r>
            <w:r>
              <w:rPr>
                <w:rFonts w:hint="eastAsia" w:eastAsia="仿宋_GB2312"/>
                <w:kern w:val="0"/>
                <w:sz w:val="18"/>
                <w:szCs w:val="18"/>
              </w:rPr>
              <w:t>工程</w:t>
            </w:r>
            <w:r>
              <w:rPr>
                <w:rFonts w:eastAsia="仿宋_GB2312"/>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永嘉县职业教育中心一期工程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78.2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xml:space="preserve">冲孔灌注桩完成530根，占比78%；钻孔灌注桩完成1165根，占比53%；围护桩完成553根，占比67%。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中电温州电子信息产业园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88.5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B-28b地块</w:t>
            </w:r>
            <w:r>
              <w:rPr>
                <w:rFonts w:hint="eastAsia" w:eastAsia="仿宋_GB2312"/>
                <w:kern w:val="0"/>
                <w:sz w:val="18"/>
                <w:szCs w:val="18"/>
              </w:rPr>
              <w:t>：</w:t>
            </w:r>
            <w:r>
              <w:rPr>
                <w:rFonts w:eastAsia="仿宋_GB2312"/>
                <w:kern w:val="0"/>
                <w:sz w:val="18"/>
                <w:szCs w:val="18"/>
              </w:rPr>
              <w:t>一二期工程2#-20#楼主体结构全部封顶，完成二次结构砌体、外墙涂料；室外综合管网</w:t>
            </w:r>
            <w:r>
              <w:rPr>
                <w:rFonts w:hint="eastAsia" w:eastAsia="仿宋_GB2312"/>
                <w:kern w:val="0"/>
                <w:sz w:val="18"/>
                <w:szCs w:val="18"/>
              </w:rPr>
              <w:t>、</w:t>
            </w:r>
            <w:r>
              <w:rPr>
                <w:rFonts w:eastAsia="仿宋_GB2312"/>
                <w:kern w:val="0"/>
                <w:sz w:val="18"/>
                <w:szCs w:val="18"/>
              </w:rPr>
              <w:t>绿化工程施工</w:t>
            </w:r>
            <w:r>
              <w:rPr>
                <w:rFonts w:hint="eastAsia" w:eastAsia="仿宋_GB2312"/>
                <w:kern w:val="0"/>
                <w:sz w:val="18"/>
                <w:szCs w:val="18"/>
              </w:rPr>
              <w:t>中；</w:t>
            </w:r>
            <w:r>
              <w:rPr>
                <w:rFonts w:eastAsia="仿宋_GB2312"/>
                <w:kern w:val="0"/>
                <w:sz w:val="18"/>
                <w:szCs w:val="18"/>
              </w:rPr>
              <w:t>三期工程完成质监和人防备案。B-29b地块工程桩基施工中。C-14g和C-14d地块办理相关手续。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35.8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1号楼主楼5-15楼玻璃幕墙基层龙骨完成55%；2号楼南侧4F及屋面砼浇筑完成100%；3号楼砌体完成70%。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华峰新材料产业园*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95.2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WPU1车间、WPU2车间、中间体罐区、甲类罐区、乙类罐区、污水处理交付安装单位；PU1</w:t>
            </w:r>
            <w:r>
              <w:rPr>
                <w:rFonts w:hint="eastAsia" w:eastAsia="仿宋_GB2312"/>
                <w:kern w:val="0"/>
                <w:sz w:val="18"/>
                <w:szCs w:val="18"/>
              </w:rPr>
              <w:t>-</w:t>
            </w:r>
            <w:r>
              <w:rPr>
                <w:rFonts w:eastAsia="仿宋_GB2312"/>
                <w:kern w:val="0"/>
                <w:sz w:val="18"/>
                <w:szCs w:val="18"/>
              </w:rPr>
              <w:t>PU4车间、公用工程车间、甲类仓库、分析及变配电楼装饰装修施工。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东新产城科技创意园一期</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190.1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桩基施工中。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99.4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基本完成码头水下桩基工程，厂区软基处理及石料回填，基础工程。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153.3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91.4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附属进场，现场二次装修完成82%，净化完成57%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397" w:type="dxa"/>
            <w:tcBorders>
              <w:tl2br w:val="nil"/>
              <w:tr2bl w:val="nil"/>
            </w:tcBorders>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824"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686" w:type="dxa"/>
            <w:tcBorders>
              <w:tl2br w:val="nil"/>
              <w:tr2bl w:val="nil"/>
            </w:tcBorders>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105.1 </w:t>
            </w:r>
          </w:p>
        </w:tc>
        <w:tc>
          <w:tcPr>
            <w:tcW w:w="2860"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eastAsia="仿宋_GB2312"/>
                <w:kern w:val="0"/>
                <w:sz w:val="18"/>
                <w:szCs w:val="18"/>
              </w:rPr>
              <w:t>天顶湖香水湾康体养生渡假村（天湖庄园）等项目正式开工建设；南田镇刘基庙外围仿古街区项目、黄坦镇栖真寺扩建项目等项目加快前期工作，争取节点开工。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南田镇刘基庙外围仿古街区项目完成土地回填</w:t>
            </w:r>
            <w:r>
              <w:rPr>
                <w:rFonts w:hint="eastAsia" w:eastAsia="仿宋_GB2312"/>
                <w:kern w:val="0"/>
                <w:sz w:val="18"/>
                <w:szCs w:val="18"/>
              </w:rPr>
              <w:t>、</w:t>
            </w:r>
            <w:r>
              <w:rPr>
                <w:rFonts w:eastAsia="仿宋_GB2312"/>
                <w:kern w:val="0"/>
                <w:sz w:val="18"/>
                <w:szCs w:val="18"/>
              </w:rPr>
              <w:t>道路稳定层建设</w:t>
            </w:r>
            <w:r>
              <w:rPr>
                <w:rFonts w:hint="eastAsia" w:eastAsia="仿宋_GB2312"/>
                <w:kern w:val="0"/>
                <w:sz w:val="18"/>
                <w:szCs w:val="18"/>
              </w:rPr>
              <w:t>、</w:t>
            </w:r>
            <w:r>
              <w:rPr>
                <w:rFonts w:eastAsia="仿宋_GB2312"/>
                <w:kern w:val="0"/>
                <w:sz w:val="18"/>
                <w:szCs w:val="18"/>
              </w:rPr>
              <w:t>景观围墙围合</w:t>
            </w:r>
            <w:r>
              <w:rPr>
                <w:rFonts w:hint="eastAsia" w:eastAsia="仿宋_GB2312"/>
                <w:kern w:val="0"/>
                <w:sz w:val="18"/>
                <w:szCs w:val="18"/>
              </w:rPr>
              <w:t>、</w:t>
            </w:r>
            <w:r>
              <w:rPr>
                <w:rFonts w:eastAsia="仿宋_GB2312"/>
                <w:kern w:val="0"/>
                <w:sz w:val="18"/>
                <w:szCs w:val="18"/>
              </w:rPr>
              <w:t>二级旅游服务中心及大门钢结构主体；刘伯温故里创建国家5A级旅游景区提升工程、新56省道接南田公路景观绿化工程、百丈</w:t>
            </w:r>
            <w:r>
              <w:rPr>
                <w:kern w:val="0"/>
                <w:sz w:val="18"/>
                <w:szCs w:val="18"/>
              </w:rPr>
              <w:t>漈</w:t>
            </w:r>
            <w:r>
              <w:rPr>
                <w:rFonts w:eastAsia="仿宋_GB2312"/>
                <w:kern w:val="0"/>
                <w:sz w:val="18"/>
                <w:szCs w:val="18"/>
              </w:rPr>
              <w:t>景区停车场项目完工；天顶湖旅游接待中心C区公寓式酒店1号楼精装修完成80%；A2区独栋别墅群一标段40栋90%达到三层结构，二标段32栋60%达到二层结构；天顶湖山地运动休闲中心完成2.8公里赛道路基贯通，发车台、观看台完成打桩；黄坦镇“东方慢城”飞云湖小镇绿城桃李春风子项目基础施工；黄坦镇栖真寺扩建项目(凤凰山文化园）进行表土剥离；百丈</w:t>
            </w:r>
            <w:r>
              <w:rPr>
                <w:kern w:val="0"/>
                <w:sz w:val="18"/>
                <w:szCs w:val="18"/>
              </w:rPr>
              <w:t>漈</w:t>
            </w:r>
            <w:r>
              <w:rPr>
                <w:rFonts w:eastAsia="仿宋_GB2312"/>
                <w:kern w:val="0"/>
                <w:sz w:val="18"/>
                <w:szCs w:val="18"/>
              </w:rPr>
              <w:t>驮坦至篁庄通景公路完成路基工程全线贯通。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97"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824" w:type="dxa"/>
            <w:tcBorders>
              <w:tl2br w:val="nil"/>
              <w:tr2bl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686"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709" w:type="dxa"/>
            <w:tcBorders>
              <w:tl2br w:val="nil"/>
              <w:tr2bl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205.6 </w:t>
            </w:r>
          </w:p>
        </w:tc>
        <w:tc>
          <w:tcPr>
            <w:tcW w:w="2860" w:type="dxa"/>
            <w:tcBorders>
              <w:tl2br w:val="nil"/>
              <w:tr2bl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686" w:type="dxa"/>
            <w:tcBorders>
              <w:tl2br w:val="nil"/>
              <w:tr2bl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完成2.6公里场地内道路土方工程</w:t>
            </w:r>
            <w:r>
              <w:rPr>
                <w:rFonts w:hint="eastAsia" w:eastAsia="仿宋_GB2312"/>
                <w:kern w:val="0"/>
                <w:sz w:val="18"/>
                <w:szCs w:val="18"/>
              </w:rPr>
              <w:t>、</w:t>
            </w:r>
            <w:r>
              <w:rPr>
                <w:rFonts w:eastAsia="仿宋_GB2312"/>
                <w:kern w:val="0"/>
                <w:sz w:val="18"/>
                <w:szCs w:val="18"/>
              </w:rPr>
              <w:t>300</w:t>
            </w:r>
            <w:r>
              <w:rPr>
                <w:kern w:val="0"/>
                <w:sz w:val="18"/>
                <w:szCs w:val="18"/>
              </w:rPr>
              <w:t>㎡</w:t>
            </w:r>
            <w:r>
              <w:rPr>
                <w:rFonts w:eastAsia="仿宋_GB2312"/>
                <w:kern w:val="0"/>
                <w:sz w:val="18"/>
                <w:szCs w:val="18"/>
              </w:rPr>
              <w:t>景观平整</w:t>
            </w:r>
            <w:r>
              <w:rPr>
                <w:rFonts w:hint="eastAsia" w:eastAsia="仿宋_GB2312"/>
                <w:kern w:val="0"/>
                <w:sz w:val="18"/>
                <w:szCs w:val="18"/>
              </w:rPr>
              <w:t>、</w:t>
            </w:r>
            <w:r>
              <w:rPr>
                <w:rFonts w:eastAsia="仿宋_GB2312"/>
                <w:kern w:val="0"/>
                <w:sz w:val="18"/>
                <w:szCs w:val="18"/>
              </w:rPr>
              <w:t>一期规划道路基层；一期30栋公寓基础桩基、挡墙基础施工中；二期温德姆酒店场地平整完毕，桩基施工中。</w:t>
            </w:r>
          </w:p>
        </w:tc>
      </w:tr>
    </w:tbl>
    <w:p>
      <w:pPr>
        <w:spacing w:line="240" w:lineRule="atLeast"/>
        <w:rPr>
          <w:rFonts w:eastAsia="黑体" w:cstheme="majorEastAsia"/>
          <w:szCs w:val="21"/>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r>
        <w:rPr>
          <w:rFonts w:hint="eastAsia" w:eastAsia="黑体"/>
          <w:sz w:val="32"/>
          <w:szCs w:val="32"/>
        </w:rPr>
        <w:t>附件7</w:t>
      </w:r>
    </w:p>
    <w:p>
      <w:pPr>
        <w:spacing w:line="600" w:lineRule="exact"/>
        <w:jc w:val="center"/>
        <w:rPr>
          <w:rFonts w:eastAsia="方正小标宋简体"/>
          <w:sz w:val="36"/>
          <w:szCs w:val="36"/>
        </w:rPr>
      </w:pPr>
      <w:r>
        <w:rPr>
          <w:rFonts w:hint="eastAsia" w:eastAsia="方正小标宋简体"/>
          <w:sz w:val="36"/>
          <w:szCs w:val="36"/>
        </w:rPr>
        <w:t>2018年市重点建设进展滞后项目情况表</w:t>
      </w:r>
      <w:r>
        <w:rPr>
          <w:rFonts w:hint="eastAsia" w:eastAsia="楷体_GB2312"/>
          <w:sz w:val="32"/>
          <w:szCs w:val="32"/>
        </w:rPr>
        <w:t>（</w:t>
      </w:r>
      <w:r>
        <w:rPr>
          <w:rFonts w:hint="eastAsia" w:eastAsia="楷体_GB2312"/>
          <w:kern w:val="0"/>
          <w:sz w:val="32"/>
          <w:szCs w:val="32"/>
        </w:rPr>
        <w:t>1-11月</w:t>
      </w:r>
      <w:r>
        <w:rPr>
          <w:rFonts w:hint="eastAsia" w:eastAsia="楷体_GB2312"/>
          <w:sz w:val="32"/>
          <w:szCs w:val="32"/>
        </w:rPr>
        <w:t>）</w:t>
      </w:r>
    </w:p>
    <w:p>
      <w:pPr>
        <w:spacing w:line="300" w:lineRule="exact"/>
        <w:ind w:right="210"/>
        <w:jc w:val="right"/>
        <w:rPr>
          <w:rFonts w:eastAsia="楷体_GB2312"/>
          <w:szCs w:val="21"/>
        </w:rPr>
      </w:pPr>
      <w:r>
        <w:rPr>
          <w:rFonts w:hint="eastAsia" w:eastAsia="楷体_GB2312"/>
          <w:szCs w:val="21"/>
        </w:rPr>
        <w:t>单位：万元、%</w:t>
      </w:r>
    </w:p>
    <w:tbl>
      <w:tblPr>
        <w:tblStyle w:val="8"/>
        <w:tblW w:w="9086" w:type="dxa"/>
        <w:tblInd w:w="94" w:type="dxa"/>
        <w:tblLayout w:type="fixed"/>
        <w:tblCellMar>
          <w:top w:w="0" w:type="dxa"/>
          <w:left w:w="108" w:type="dxa"/>
          <w:bottom w:w="0" w:type="dxa"/>
          <w:right w:w="108" w:type="dxa"/>
        </w:tblCellMar>
      </w:tblPr>
      <w:tblGrid>
        <w:gridCol w:w="440"/>
        <w:gridCol w:w="850"/>
        <w:gridCol w:w="3761"/>
        <w:gridCol w:w="960"/>
        <w:gridCol w:w="1005"/>
        <w:gridCol w:w="1005"/>
        <w:gridCol w:w="1065"/>
      </w:tblGrid>
      <w:tr>
        <w:tblPrEx>
          <w:tblCellMar>
            <w:top w:w="0" w:type="dxa"/>
            <w:left w:w="108" w:type="dxa"/>
            <w:bottom w:w="0" w:type="dxa"/>
            <w:right w:w="108" w:type="dxa"/>
          </w:tblCellMar>
        </w:tblPrEx>
        <w:trPr>
          <w:trHeight w:val="517" w:hRule="atLeast"/>
          <w:tblHeader/>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序号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责任</w:t>
            </w:r>
          </w:p>
          <w:p>
            <w:pPr>
              <w:widowControl/>
              <w:jc w:val="center"/>
              <w:rPr>
                <w:rFonts w:eastAsia="黑体"/>
                <w:kern w:val="0"/>
                <w:szCs w:val="21"/>
              </w:rPr>
            </w:pPr>
            <w:r>
              <w:rPr>
                <w:rFonts w:hint="eastAsia" w:eastAsia="黑体"/>
                <w:kern w:val="0"/>
                <w:szCs w:val="21"/>
              </w:rPr>
              <w:t>单位</w:t>
            </w:r>
          </w:p>
        </w:tc>
        <w:tc>
          <w:tcPr>
            <w:tcW w:w="3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项目名称</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总投资</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计划</w:t>
            </w:r>
          </w:p>
          <w:p>
            <w:pPr>
              <w:widowControl/>
              <w:jc w:val="center"/>
              <w:rPr>
                <w:rFonts w:eastAsia="黑体"/>
                <w:kern w:val="0"/>
                <w:szCs w:val="21"/>
              </w:rPr>
            </w:pPr>
            <w:r>
              <w:rPr>
                <w:rFonts w:hint="eastAsia" w:eastAsia="黑体"/>
                <w:kern w:val="0"/>
                <w:szCs w:val="21"/>
              </w:rPr>
              <w:t>投资</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完成</w:t>
            </w:r>
          </w:p>
          <w:p>
            <w:pPr>
              <w:jc w:val="center"/>
              <w:rPr>
                <w:rFonts w:eastAsia="黑体"/>
                <w:kern w:val="0"/>
                <w:szCs w:val="21"/>
              </w:rPr>
            </w:pPr>
            <w:r>
              <w:rPr>
                <w:rFonts w:hint="eastAsia" w:eastAsia="黑体"/>
                <w:kern w:val="0"/>
                <w:szCs w:val="21"/>
              </w:rPr>
              <w:t>投资</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r>
              <w:rPr>
                <w:rFonts w:hint="eastAsia" w:eastAsia="黑体"/>
                <w:kern w:val="0"/>
                <w:szCs w:val="21"/>
              </w:rPr>
              <w:t>完成率</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鹿城区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戍浦江河道（藤桥至河口段）整治工程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99255</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3500</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57.1 </w:t>
            </w:r>
          </w:p>
        </w:tc>
      </w:tr>
      <w:tr>
        <w:tblPrEx>
          <w:tblCellMar>
            <w:top w:w="0" w:type="dxa"/>
            <w:left w:w="108" w:type="dxa"/>
            <w:bottom w:w="0" w:type="dxa"/>
            <w:right w:w="108" w:type="dxa"/>
          </w:tblCellMar>
        </w:tblPrEx>
        <w:trPr>
          <w:trHeight w:val="313"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门前山物流园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4300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61.4 </w:t>
            </w:r>
          </w:p>
        </w:tc>
      </w:tr>
      <w:tr>
        <w:tblPrEx>
          <w:tblCellMar>
            <w:top w:w="0" w:type="dxa"/>
            <w:left w:w="108" w:type="dxa"/>
            <w:bottom w:w="0" w:type="dxa"/>
            <w:right w:w="108" w:type="dxa"/>
          </w:tblCellMar>
        </w:tblPrEx>
        <w:trPr>
          <w:trHeight w:val="28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安邦金融广场</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650000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5680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56.8 </w:t>
            </w:r>
          </w:p>
        </w:tc>
      </w:tr>
      <w:tr>
        <w:tblPrEx>
          <w:tblCellMar>
            <w:top w:w="0" w:type="dxa"/>
            <w:left w:w="108" w:type="dxa"/>
            <w:bottom w:w="0" w:type="dxa"/>
            <w:right w:w="108" w:type="dxa"/>
          </w:tblCellMar>
        </w:tblPrEx>
        <w:trPr>
          <w:trHeight w:val="4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龙湾区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温州生物材料与工程研究所一期建设工程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29479</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3579</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35.8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浙南科技城互联网大厦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99986</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4483</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44.8 </w:t>
            </w:r>
          </w:p>
        </w:tc>
      </w:tr>
      <w:tr>
        <w:tblPrEx>
          <w:tblCellMar>
            <w:top w:w="0" w:type="dxa"/>
            <w:left w:w="108" w:type="dxa"/>
            <w:bottom w:w="0" w:type="dxa"/>
            <w:right w:w="108" w:type="dxa"/>
          </w:tblCellMar>
        </w:tblPrEx>
        <w:trPr>
          <w:trHeight w:val="33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瓯海区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瓯海总部经济园二期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39000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6510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54.3 </w:t>
            </w:r>
          </w:p>
        </w:tc>
      </w:tr>
      <w:tr>
        <w:tblPrEx>
          <w:tblCellMar>
            <w:top w:w="0" w:type="dxa"/>
            <w:left w:w="108" w:type="dxa"/>
            <w:bottom w:w="0" w:type="dxa"/>
            <w:right w:w="108" w:type="dxa"/>
          </w:tblCellMar>
        </w:tblPrEx>
        <w:trPr>
          <w:trHeight w:val="29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温州乐园（二期）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5154</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64.4 </w:t>
            </w:r>
          </w:p>
        </w:tc>
      </w:tr>
      <w:tr>
        <w:tblPrEx>
          <w:tblCellMar>
            <w:top w:w="0" w:type="dxa"/>
            <w:left w:w="108" w:type="dxa"/>
            <w:bottom w:w="0" w:type="dxa"/>
            <w:right w:w="108" w:type="dxa"/>
          </w:tblCellMar>
        </w:tblPrEx>
        <w:trPr>
          <w:trHeight w:val="34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8</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温州健康产业创新中心</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240877</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13677</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68.4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9</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洞头区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小门岛环岛公路工程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32102</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3143</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39.3 </w:t>
            </w:r>
          </w:p>
        </w:tc>
      </w:tr>
      <w:tr>
        <w:tblPrEx>
          <w:tblCellMar>
            <w:top w:w="0" w:type="dxa"/>
            <w:left w:w="108" w:type="dxa"/>
            <w:bottom w:w="0" w:type="dxa"/>
            <w:right w:w="108" w:type="dxa"/>
          </w:tblCellMar>
        </w:tblPrEx>
        <w:trPr>
          <w:trHeight w:val="478"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10</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中石化温州液化天然气（</w:t>
            </w:r>
            <w:r>
              <w:rPr>
                <w:kern w:val="0"/>
                <w:szCs w:val="21"/>
              </w:rPr>
              <w:t>LNG</w:t>
            </w:r>
            <w:r>
              <w:rPr>
                <w:rFonts w:hint="eastAsia" w:eastAsia="仿宋_GB2312"/>
                <w:kern w:val="0"/>
                <w:szCs w:val="21"/>
              </w:rPr>
              <w:t>）项目（含场平工程）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903600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8648</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57.7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11</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洞头城北污水处理厂</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32795</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515</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51.5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12</w:t>
            </w:r>
          </w:p>
        </w:tc>
        <w:tc>
          <w:tcPr>
            <w:tcW w:w="850" w:type="dxa"/>
            <w:vMerge w:val="restart"/>
            <w:tcBorders>
              <w:top w:val="nil"/>
              <w:left w:val="nil"/>
              <w:right w:val="single" w:color="auto" w:sz="4" w:space="0"/>
            </w:tcBorders>
            <w:shd w:val="clear" w:color="auto" w:fill="auto"/>
            <w:vAlign w:val="center"/>
          </w:tcPr>
          <w:p>
            <w:pPr>
              <w:widowControl/>
              <w:jc w:val="center"/>
              <w:rPr>
                <w:kern w:val="0"/>
                <w:szCs w:val="21"/>
              </w:rPr>
            </w:pPr>
            <w:r>
              <w:rPr>
                <w:rFonts w:hint="eastAsia" w:eastAsia="仿宋_GB2312"/>
                <w:kern w:val="0"/>
                <w:szCs w:val="21"/>
              </w:rPr>
              <w:t>乐清市</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228</w:t>
            </w:r>
            <w:r>
              <w:rPr>
                <w:rFonts w:hint="eastAsia" w:eastAsia="仿宋_GB2312"/>
                <w:kern w:val="0"/>
                <w:szCs w:val="21"/>
              </w:rPr>
              <w:t>国道至</w:t>
            </w:r>
            <w:r>
              <w:rPr>
                <w:kern w:val="0"/>
                <w:szCs w:val="21"/>
              </w:rPr>
              <w:t>323</w:t>
            </w:r>
            <w:r>
              <w:rPr>
                <w:rFonts w:hint="eastAsia" w:eastAsia="仿宋_GB2312"/>
                <w:kern w:val="0"/>
                <w:szCs w:val="21"/>
              </w:rPr>
              <w:t>省道连接线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98000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13</w:t>
            </w: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hint="eastAsia" w:eastAsia="仿宋_GB2312"/>
                <w:kern w:val="0"/>
                <w:szCs w:val="21"/>
              </w:rPr>
              <w:t>乐清市翁象大道及连接线（白象大道）建设工程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50009</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1707</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34.1</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4</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永嘉县</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永嘉县瓯北三江段标准堤工程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174300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7934</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52.9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文成县</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文成县黄坦镇低丘缓坡开发基础设施配套项目（一）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33560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386</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25.7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泰顺县</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泰顺县南浦溪景区开发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34000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5000 </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3485</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69.7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7</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苍南县</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苍南县二医迁建工程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812</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40.6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8</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228</w:t>
            </w:r>
            <w:r>
              <w:rPr>
                <w:rFonts w:hint="eastAsia" w:eastAsia="仿宋_GB2312"/>
                <w:kern w:val="0"/>
                <w:szCs w:val="21"/>
              </w:rPr>
              <w:t>国道苍南龙沙至岱岭段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379348</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r>
              <w:rPr>
                <w:rFonts w:hint="eastAsia"/>
                <w:kern w:val="0"/>
                <w:szCs w:val="21"/>
              </w:rPr>
              <w:t>9</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瓯江口</w:t>
            </w:r>
            <w:r>
              <w:rPr>
                <w:rFonts w:hint="eastAsia" w:eastAsia="仿宋_GB2312"/>
                <w:color w:val="000000" w:themeColor="text1"/>
                <w:kern w:val="0"/>
                <w:szCs w:val="21"/>
                <w14:textFill>
                  <w14:solidFill>
                    <w14:schemeClr w14:val="tx1"/>
                  </w14:solidFill>
                </w14:textFill>
              </w:rPr>
              <w:t>集聚区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瓯锟科技金属复合新材料产业化项目（一期）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9703</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64.7 </w:t>
            </w:r>
          </w:p>
        </w:tc>
      </w:tr>
      <w:tr>
        <w:tblPrEx>
          <w:tblCellMar>
            <w:top w:w="0" w:type="dxa"/>
            <w:left w:w="108" w:type="dxa"/>
            <w:bottom w:w="0" w:type="dxa"/>
            <w:right w:w="108" w:type="dxa"/>
          </w:tblCellMar>
        </w:tblPrEx>
        <w:trPr>
          <w:trHeight w:val="36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20</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瓯江口新区起步区邻里中心建设工程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39700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6800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68.0 </w:t>
            </w:r>
          </w:p>
        </w:tc>
      </w:tr>
      <w:tr>
        <w:tblPrEx>
          <w:tblCellMar>
            <w:top w:w="0" w:type="dxa"/>
            <w:left w:w="108" w:type="dxa"/>
            <w:bottom w:w="0" w:type="dxa"/>
            <w:right w:w="108" w:type="dxa"/>
          </w:tblCellMar>
        </w:tblPrEx>
        <w:trPr>
          <w:trHeight w:val="516"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1</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沈海高速复线瓯江口产业集聚区连接线工程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74300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 </w:t>
            </w:r>
          </w:p>
        </w:tc>
      </w:tr>
      <w:tr>
        <w:tblPrEx>
          <w:tblCellMar>
            <w:top w:w="0" w:type="dxa"/>
            <w:left w:w="108" w:type="dxa"/>
            <w:bottom w:w="0" w:type="dxa"/>
            <w:right w:w="108" w:type="dxa"/>
          </w:tblCellMar>
        </w:tblPrEx>
        <w:trPr>
          <w:trHeight w:val="42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2</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228</w:t>
            </w:r>
            <w:r>
              <w:rPr>
                <w:rFonts w:hint="eastAsia" w:eastAsia="仿宋_GB2312"/>
                <w:kern w:val="0"/>
                <w:szCs w:val="21"/>
              </w:rPr>
              <w:t>国道洞头灵昆段工程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210600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r>
      <w:tr>
        <w:tblPrEx>
          <w:tblCellMar>
            <w:top w:w="0" w:type="dxa"/>
            <w:left w:w="108" w:type="dxa"/>
            <w:bottom w:w="0" w:type="dxa"/>
            <w:right w:w="108" w:type="dxa"/>
          </w:tblCellMar>
        </w:tblPrEx>
        <w:trPr>
          <w:trHeight w:val="487"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3</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olor w:val="000000" w:themeColor="text1"/>
                <w:kern w:val="0"/>
                <w:szCs w:val="21"/>
                <w14:textFill>
                  <w14:solidFill>
                    <w14:schemeClr w14:val="tx1"/>
                  </w14:solidFill>
                </w14:textFill>
              </w:rPr>
              <w:t>浙南集聚区</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百威英博（温州）啤酒有限公司年产</w:t>
            </w:r>
            <w:r>
              <w:rPr>
                <w:kern w:val="0"/>
                <w:szCs w:val="21"/>
              </w:rPr>
              <w:t>120</w:t>
            </w:r>
            <w:r>
              <w:rPr>
                <w:rFonts w:hint="eastAsia" w:eastAsia="仿宋_GB2312"/>
                <w:kern w:val="0"/>
                <w:szCs w:val="21"/>
              </w:rPr>
              <w:t>万吨啤酒项目</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5678</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28.4 </w:t>
            </w:r>
          </w:p>
        </w:tc>
      </w:tr>
      <w:tr>
        <w:tblPrEx>
          <w:tblCellMar>
            <w:top w:w="0" w:type="dxa"/>
            <w:left w:w="108" w:type="dxa"/>
            <w:bottom w:w="0" w:type="dxa"/>
            <w:right w:w="108" w:type="dxa"/>
          </w:tblCellMar>
        </w:tblPrEx>
        <w:trPr>
          <w:trHeight w:val="32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4</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置信滨海商业城项目</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46080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8040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53.6 </w:t>
            </w:r>
          </w:p>
        </w:tc>
      </w:tr>
      <w:tr>
        <w:tblPrEx>
          <w:tblCellMar>
            <w:top w:w="0" w:type="dxa"/>
            <w:left w:w="108" w:type="dxa"/>
            <w:bottom w:w="0" w:type="dxa"/>
            <w:right w:w="108" w:type="dxa"/>
          </w:tblCellMar>
        </w:tblPrEx>
        <w:trPr>
          <w:trHeight w:val="303"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5</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s="宋体"/>
                <w:kern w:val="0"/>
                <w:szCs w:val="21"/>
              </w:rPr>
            </w:pP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华廷大酒店</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42000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5721</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57.2 </w:t>
            </w:r>
          </w:p>
        </w:tc>
      </w:tr>
      <w:tr>
        <w:tblPrEx>
          <w:tblCellMar>
            <w:top w:w="0" w:type="dxa"/>
            <w:left w:w="108" w:type="dxa"/>
            <w:bottom w:w="0" w:type="dxa"/>
            <w:right w:w="108" w:type="dxa"/>
          </w:tblCellMar>
        </w:tblPrEx>
        <w:trPr>
          <w:trHeight w:val="488"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olor w:val="000000" w:themeColor="text1"/>
                <w:kern w:val="0"/>
                <w:szCs w:val="21"/>
                <w14:textFill>
                  <w14:solidFill>
                    <w14:schemeClr w14:val="tx1"/>
                  </w14:solidFill>
                </w14:textFill>
              </w:rPr>
              <w:t>市</w:t>
            </w:r>
            <w:r>
              <w:rPr>
                <w:rFonts w:eastAsia="仿宋_GB2312"/>
                <w:color w:val="000000" w:themeColor="text1"/>
                <w:kern w:val="0"/>
                <w:szCs w:val="21"/>
                <w14:textFill>
                  <w14:solidFill>
                    <w14:schemeClr w14:val="tx1"/>
                  </w14:solidFill>
                </w14:textFill>
              </w:rPr>
              <w:t>铁投</w:t>
            </w:r>
            <w:r>
              <w:rPr>
                <w:rFonts w:hint="eastAsia" w:eastAsia="仿宋_GB2312"/>
                <w:color w:val="000000" w:themeColor="text1"/>
                <w:kern w:val="0"/>
                <w:szCs w:val="21"/>
                <w14:textFill>
                  <w14:solidFill>
                    <w14:schemeClr w14:val="tx1"/>
                  </w14:solidFill>
                </w14:textFill>
              </w:rPr>
              <w:t>集团</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杭温高铁一期（温州段）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1170000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2054</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2.6 </w:t>
            </w:r>
          </w:p>
        </w:tc>
      </w:tr>
      <w:tr>
        <w:tblPrEx>
          <w:tblCellMar>
            <w:top w:w="0" w:type="dxa"/>
            <w:left w:w="108" w:type="dxa"/>
            <w:bottom w:w="0" w:type="dxa"/>
            <w:right w:w="108" w:type="dxa"/>
          </w:tblCellMar>
        </w:tblPrEx>
        <w:trPr>
          <w:trHeight w:val="507"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r>
              <w:rPr>
                <w:rFonts w:hint="eastAsia"/>
                <w:kern w:val="0"/>
                <w:szCs w:val="21"/>
              </w:rPr>
              <w:t>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s="宋体"/>
                <w:kern w:val="0"/>
                <w:szCs w:val="21"/>
              </w:rPr>
            </w:pPr>
            <w:r>
              <w:rPr>
                <w:rFonts w:hint="eastAsia" w:eastAsia="仿宋_GB2312" w:cs="宋体"/>
                <w:kern w:val="0"/>
                <w:szCs w:val="21"/>
              </w:rPr>
              <w:t>龙丽温</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r>
              <w:rPr>
                <w:rFonts w:hint="eastAsia" w:eastAsia="仿宋_GB2312"/>
                <w:kern w:val="0"/>
                <w:szCs w:val="21"/>
              </w:rPr>
              <w:t>溧阳至宁德高速公路（</w:t>
            </w:r>
            <w:r>
              <w:rPr>
                <w:kern w:val="0"/>
                <w:szCs w:val="21"/>
              </w:rPr>
              <w:t>G4012</w:t>
            </w:r>
            <w:r>
              <w:rPr>
                <w:rFonts w:hint="eastAsia" w:eastAsia="仿宋_GB2312"/>
                <w:kern w:val="0"/>
                <w:szCs w:val="21"/>
              </w:rPr>
              <w:t>）浙江景宁至文成段（文成段）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743305</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70000</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 </w:t>
            </w:r>
          </w:p>
        </w:tc>
      </w:tr>
    </w:tbl>
    <w:p>
      <w:pPr>
        <w:spacing w:line="300" w:lineRule="exact"/>
        <w:ind w:right="210"/>
        <w:jc w:val="left"/>
        <w:rPr>
          <w:rFonts w:eastAsia="黑体" w:cstheme="majorEastAsia"/>
          <w:szCs w:val="21"/>
        </w:rPr>
      </w:pPr>
      <w:r>
        <w:rPr>
          <w:rFonts w:hint="eastAsia" w:eastAsia="黑体" w:cstheme="majorEastAsia"/>
          <w:szCs w:val="21"/>
        </w:rPr>
        <w:t>注：以上均为1-11月投资完成率为70%（含）以下的项目，不包括11月新开工项目。</w:t>
      </w: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MWTXHAIAACcEAAAOAAAAZHJz&#10;L2Uyb0RvYy54bWytU0uOEzEQ3SNxB8t70p2MG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q+osQwjRGdvn45fftx+v6Z&#10;XCV4Whdm8Fo7+MXute0qGv1eDKaA99R4J71ON1oicAHWxwu+oouE43E8nUynJUwctkFBiuLpu/Mh&#10;vhFWkyRU1GOAGVd2uA/x7Dq4pGzGrhql8hCVIW1Fr69elv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zFk1xwCAAAnBAAADgAAAAAAAAABACAAAAA1AQAAZHJzL2Uyb0RvYy54bWxQSwUG&#10;AAAAAAYABgBZAQAAwwUAAAAA&#10;">
              <v:fill on="f" focussize="0,0"/>
              <v:stroke on="f" weight="0.5pt"/>
              <v:imagedata o:title=""/>
              <o:lock v:ext="edit" aspectratio="f"/>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666750" cy="247650"/>
              <wp:effectExtent l="0" t="0" r="0" b="0"/>
              <wp:wrapNone/>
              <wp:docPr id="8" name="文本框 1"/>
              <wp:cNvGraphicFramePr/>
              <a:graphic xmlns:a="http://schemas.openxmlformats.org/drawingml/2006/main">
                <a:graphicData uri="http://schemas.microsoft.com/office/word/2010/wordprocessingShape">
                  <wps:wsp>
                    <wps:cNvSpPr txBox="true"/>
                    <wps:spPr>
                      <a:xfrm>
                        <a:off x="0" y="0"/>
                        <a:ext cx="666750" cy="247650"/>
                      </a:xfrm>
                      <a:prstGeom prst="rect">
                        <a:avLst/>
                      </a:prstGeom>
                      <a:noFill/>
                      <a:ln w="9525">
                        <a:noFill/>
                      </a:ln>
                      <a:effectLst/>
                    </wps:spPr>
                    <wps:txbx>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wps:txbx>
                    <wps:bodyPr wrap="square" lIns="0" tIns="0" rIns="0" bIns="0" upright="true">
                      <a:noAutofit/>
                    </wps:bodyPr>
                  </wps:wsp>
                </a:graphicData>
              </a:graphic>
            </wp:anchor>
          </w:drawing>
        </mc:Choice>
        <mc:Fallback>
          <w:pict>
            <v:shape id="文本框 1" o:spid="_x0000_s1026" o:spt="202" type="#_x0000_t202" style="position:absolute;left:0pt;margin-top:0pt;height:19.5pt;width:52.5pt;mso-position-horizontal:center;mso-position-horizontal-relative:margin;z-index:251666432;mso-width-relative:page;mso-height-relative:page;" filled="f" stroked="f" coordsize="21600,21600" o:gfxdata="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tuttLTAAAABAEAAA8AAAAAAAAAAQAg&#10;AAAAOAAAAGRycy9kb3ducmV2LnhtbFBLAQIUABQAAAAIAIdO4kDS7/7UxAEAAGgDAAAOAAAAAAAA&#10;AAEAIAAAADgBAABkcnMvZTJvRG9jLnhtbFBLBQYAAAAABgAGAFkBAABuBQAAAAA=&#10;">
              <v:fill on="f" focussize="0,0"/>
              <v:stroke on="f"/>
              <v:imagedata o:title=""/>
              <o:lock v:ext="edit" aspectratio="f"/>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90500" cy="131445"/>
              <wp:effectExtent l="0" t="0" r="0" b="0"/>
              <wp:wrapNone/>
              <wp:docPr id="9" name="文本框 3"/>
              <wp:cNvGraphicFramePr/>
              <a:graphic xmlns:a="http://schemas.openxmlformats.org/drawingml/2006/main">
                <a:graphicData uri="http://schemas.microsoft.com/office/word/2010/wordprocessingShape">
                  <wps:wsp>
                    <wps:cNvSpPr txBox="true"/>
                    <wps:spPr>
                      <a:xfrm>
                        <a:off x="0" y="0"/>
                        <a:ext cx="190500" cy="131445"/>
                      </a:xfrm>
                      <a:prstGeom prst="rect">
                        <a:avLst/>
                      </a:prstGeom>
                      <a:noFill/>
                      <a:ln w="9525">
                        <a:noFill/>
                      </a:ln>
                      <a:effectLst/>
                    </wps:spPr>
                    <wps:txbx>
                      <w:txbxContent>
                        <w:p>
                          <w:r>
                            <w:fldChar w:fldCharType="begin"/>
                          </w:r>
                          <w:r>
                            <w:instrText xml:space="preserve"> PAGE  \* MERGEFORMAT </w:instrText>
                          </w:r>
                          <w:r>
                            <w:fldChar w:fldCharType="separate"/>
                          </w:r>
                          <w:r>
                            <w:t>- 12 -</w:t>
                          </w:r>
                          <w:r>
                            <w:fldChar w:fldCharType="end"/>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0.35pt;width:15pt;mso-position-horizontal:center;mso-position-horizontal-relative:margin;mso-wrap-style:none;z-index:251667456;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KKkUuzQAAAAAwEAAA8AAAAAAAAAAQAgAAAA&#10;OAAAAGRycy9kb3ducmV2LnhtbFBLAQIUABQAAAAIAIdO4kD3cCrRxAEAAGYDAAAOAAAAAAAAAAEA&#10;IAAAADUBAABkcnMvZTJvRG9jLnhtbFBLBQYAAAAABgAGAFkBAABr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7"/>
    <w:rsid w:val="0000023C"/>
    <w:rsid w:val="00000374"/>
    <w:rsid w:val="00000DB2"/>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4F4B"/>
    <w:rsid w:val="00025323"/>
    <w:rsid w:val="0002537A"/>
    <w:rsid w:val="0002609F"/>
    <w:rsid w:val="000276D3"/>
    <w:rsid w:val="00030038"/>
    <w:rsid w:val="00030048"/>
    <w:rsid w:val="00030180"/>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22C9"/>
    <w:rsid w:val="00042DD4"/>
    <w:rsid w:val="00043886"/>
    <w:rsid w:val="0004393C"/>
    <w:rsid w:val="000439B0"/>
    <w:rsid w:val="00043DE9"/>
    <w:rsid w:val="00044F47"/>
    <w:rsid w:val="000451B5"/>
    <w:rsid w:val="00045384"/>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5726C"/>
    <w:rsid w:val="00060174"/>
    <w:rsid w:val="00060817"/>
    <w:rsid w:val="000614E1"/>
    <w:rsid w:val="00062BA1"/>
    <w:rsid w:val="000635DF"/>
    <w:rsid w:val="000636A4"/>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3E69"/>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BAD"/>
    <w:rsid w:val="000B3DFD"/>
    <w:rsid w:val="000B4252"/>
    <w:rsid w:val="000B4F58"/>
    <w:rsid w:val="000B525D"/>
    <w:rsid w:val="000B74C5"/>
    <w:rsid w:val="000B7557"/>
    <w:rsid w:val="000B7631"/>
    <w:rsid w:val="000C0BA7"/>
    <w:rsid w:val="000C1692"/>
    <w:rsid w:val="000C2041"/>
    <w:rsid w:val="000C2C19"/>
    <w:rsid w:val="000C31F6"/>
    <w:rsid w:val="000C35AA"/>
    <w:rsid w:val="000C38C6"/>
    <w:rsid w:val="000C40FC"/>
    <w:rsid w:val="000C4C7E"/>
    <w:rsid w:val="000C4F50"/>
    <w:rsid w:val="000C506E"/>
    <w:rsid w:val="000C509B"/>
    <w:rsid w:val="000C5726"/>
    <w:rsid w:val="000C6169"/>
    <w:rsid w:val="000C6B4A"/>
    <w:rsid w:val="000C6CB9"/>
    <w:rsid w:val="000C71A6"/>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763"/>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70D"/>
    <w:rsid w:val="00124E98"/>
    <w:rsid w:val="00126293"/>
    <w:rsid w:val="00126C9B"/>
    <w:rsid w:val="00126D89"/>
    <w:rsid w:val="00127514"/>
    <w:rsid w:val="00127854"/>
    <w:rsid w:val="0013044D"/>
    <w:rsid w:val="00130B3F"/>
    <w:rsid w:val="00130FB0"/>
    <w:rsid w:val="0013112D"/>
    <w:rsid w:val="0013146E"/>
    <w:rsid w:val="00131E2B"/>
    <w:rsid w:val="0013204F"/>
    <w:rsid w:val="001321D4"/>
    <w:rsid w:val="0013327A"/>
    <w:rsid w:val="00133694"/>
    <w:rsid w:val="00134B64"/>
    <w:rsid w:val="00134D6E"/>
    <w:rsid w:val="001351AF"/>
    <w:rsid w:val="001354F8"/>
    <w:rsid w:val="00135730"/>
    <w:rsid w:val="00135D64"/>
    <w:rsid w:val="0013748C"/>
    <w:rsid w:val="00137516"/>
    <w:rsid w:val="001379A5"/>
    <w:rsid w:val="00137D00"/>
    <w:rsid w:val="00141222"/>
    <w:rsid w:val="0014207C"/>
    <w:rsid w:val="001420E4"/>
    <w:rsid w:val="00142337"/>
    <w:rsid w:val="00142A2A"/>
    <w:rsid w:val="00142E8E"/>
    <w:rsid w:val="00143211"/>
    <w:rsid w:val="00143410"/>
    <w:rsid w:val="00143840"/>
    <w:rsid w:val="00144410"/>
    <w:rsid w:val="001452F5"/>
    <w:rsid w:val="0014532F"/>
    <w:rsid w:val="0014561E"/>
    <w:rsid w:val="00146BCC"/>
    <w:rsid w:val="001472B3"/>
    <w:rsid w:val="00147667"/>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890"/>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3C9"/>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2C3A"/>
    <w:rsid w:val="001B3725"/>
    <w:rsid w:val="001B38ED"/>
    <w:rsid w:val="001B3AFB"/>
    <w:rsid w:val="001B5B41"/>
    <w:rsid w:val="001B6167"/>
    <w:rsid w:val="001B6618"/>
    <w:rsid w:val="001B66E8"/>
    <w:rsid w:val="001B6AB9"/>
    <w:rsid w:val="001B78E3"/>
    <w:rsid w:val="001B7943"/>
    <w:rsid w:val="001B7B59"/>
    <w:rsid w:val="001B7BA1"/>
    <w:rsid w:val="001C058D"/>
    <w:rsid w:val="001C06B0"/>
    <w:rsid w:val="001C09CC"/>
    <w:rsid w:val="001C0C07"/>
    <w:rsid w:val="001C17B3"/>
    <w:rsid w:val="001C17D5"/>
    <w:rsid w:val="001C182F"/>
    <w:rsid w:val="001C1DDF"/>
    <w:rsid w:val="001C1E08"/>
    <w:rsid w:val="001C227C"/>
    <w:rsid w:val="001C2DD7"/>
    <w:rsid w:val="001C38A4"/>
    <w:rsid w:val="001C410B"/>
    <w:rsid w:val="001C4927"/>
    <w:rsid w:val="001C55CB"/>
    <w:rsid w:val="001C70D8"/>
    <w:rsid w:val="001D02FB"/>
    <w:rsid w:val="001D0CCA"/>
    <w:rsid w:val="001D0E6E"/>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423"/>
    <w:rsid w:val="001E07DF"/>
    <w:rsid w:val="001E093E"/>
    <w:rsid w:val="001E0AC9"/>
    <w:rsid w:val="001E149D"/>
    <w:rsid w:val="001E1C99"/>
    <w:rsid w:val="001E236A"/>
    <w:rsid w:val="001E2519"/>
    <w:rsid w:val="001E2807"/>
    <w:rsid w:val="001E2A24"/>
    <w:rsid w:val="001E2CAE"/>
    <w:rsid w:val="001E2D63"/>
    <w:rsid w:val="001E3562"/>
    <w:rsid w:val="001E43BC"/>
    <w:rsid w:val="001E4813"/>
    <w:rsid w:val="001E4F8B"/>
    <w:rsid w:val="001E5B0A"/>
    <w:rsid w:val="001E5CAD"/>
    <w:rsid w:val="001E5F40"/>
    <w:rsid w:val="001E6F3C"/>
    <w:rsid w:val="001E731B"/>
    <w:rsid w:val="001E7913"/>
    <w:rsid w:val="001E79B7"/>
    <w:rsid w:val="001E7A71"/>
    <w:rsid w:val="001E7B95"/>
    <w:rsid w:val="001F137E"/>
    <w:rsid w:val="001F13B4"/>
    <w:rsid w:val="001F2BCA"/>
    <w:rsid w:val="001F3C5B"/>
    <w:rsid w:val="001F4B87"/>
    <w:rsid w:val="001F4F0D"/>
    <w:rsid w:val="001F4F8B"/>
    <w:rsid w:val="001F62FE"/>
    <w:rsid w:val="0020062D"/>
    <w:rsid w:val="002008B6"/>
    <w:rsid w:val="00201256"/>
    <w:rsid w:val="002017C9"/>
    <w:rsid w:val="002021DF"/>
    <w:rsid w:val="0020395A"/>
    <w:rsid w:val="00203C9C"/>
    <w:rsid w:val="00204B1E"/>
    <w:rsid w:val="00204DBF"/>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4B5"/>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4E23"/>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742"/>
    <w:rsid w:val="00284D23"/>
    <w:rsid w:val="002857CC"/>
    <w:rsid w:val="002857F1"/>
    <w:rsid w:val="00286075"/>
    <w:rsid w:val="00286231"/>
    <w:rsid w:val="002873FC"/>
    <w:rsid w:val="00290022"/>
    <w:rsid w:val="0029019A"/>
    <w:rsid w:val="00290CE3"/>
    <w:rsid w:val="00291362"/>
    <w:rsid w:val="002914FE"/>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6CE3"/>
    <w:rsid w:val="002A73EF"/>
    <w:rsid w:val="002A7819"/>
    <w:rsid w:val="002B01E6"/>
    <w:rsid w:val="002B025F"/>
    <w:rsid w:val="002B05A7"/>
    <w:rsid w:val="002B14ED"/>
    <w:rsid w:val="002B1D91"/>
    <w:rsid w:val="002B2C69"/>
    <w:rsid w:val="002B311F"/>
    <w:rsid w:val="002B3ED6"/>
    <w:rsid w:val="002B5707"/>
    <w:rsid w:val="002B641A"/>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214"/>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2EB"/>
    <w:rsid w:val="002D6380"/>
    <w:rsid w:val="002E0127"/>
    <w:rsid w:val="002E0417"/>
    <w:rsid w:val="002E0AF2"/>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09F6"/>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191E"/>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45E9"/>
    <w:rsid w:val="0033580D"/>
    <w:rsid w:val="00335D36"/>
    <w:rsid w:val="0033709D"/>
    <w:rsid w:val="00337114"/>
    <w:rsid w:val="003376A1"/>
    <w:rsid w:val="00340DCC"/>
    <w:rsid w:val="00340E59"/>
    <w:rsid w:val="003414D0"/>
    <w:rsid w:val="00341D30"/>
    <w:rsid w:val="003423EE"/>
    <w:rsid w:val="00342A50"/>
    <w:rsid w:val="00342D15"/>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3F91"/>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453"/>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923"/>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0DA"/>
    <w:rsid w:val="003D179E"/>
    <w:rsid w:val="003D21A8"/>
    <w:rsid w:val="003D2EBB"/>
    <w:rsid w:val="003D34AE"/>
    <w:rsid w:val="003D4060"/>
    <w:rsid w:val="003D54DC"/>
    <w:rsid w:val="003D5768"/>
    <w:rsid w:val="003D5FCE"/>
    <w:rsid w:val="003D672D"/>
    <w:rsid w:val="003D6AFF"/>
    <w:rsid w:val="003D77A3"/>
    <w:rsid w:val="003D7932"/>
    <w:rsid w:val="003D7A61"/>
    <w:rsid w:val="003D7D03"/>
    <w:rsid w:val="003E0E14"/>
    <w:rsid w:val="003E1ADD"/>
    <w:rsid w:val="003E25E4"/>
    <w:rsid w:val="003E27BA"/>
    <w:rsid w:val="003E4107"/>
    <w:rsid w:val="003E5554"/>
    <w:rsid w:val="003E576E"/>
    <w:rsid w:val="003E5C14"/>
    <w:rsid w:val="003E5C86"/>
    <w:rsid w:val="003E6590"/>
    <w:rsid w:val="003E6ADC"/>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2F6B"/>
    <w:rsid w:val="00463A61"/>
    <w:rsid w:val="00464125"/>
    <w:rsid w:val="004641F8"/>
    <w:rsid w:val="004653DE"/>
    <w:rsid w:val="00465EBB"/>
    <w:rsid w:val="00465ECF"/>
    <w:rsid w:val="00465FDA"/>
    <w:rsid w:val="00466415"/>
    <w:rsid w:val="00466B9B"/>
    <w:rsid w:val="00466BCA"/>
    <w:rsid w:val="004672B2"/>
    <w:rsid w:val="00467E41"/>
    <w:rsid w:val="004700C7"/>
    <w:rsid w:val="00470BF4"/>
    <w:rsid w:val="004713CD"/>
    <w:rsid w:val="00472343"/>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1DB7"/>
    <w:rsid w:val="004936E6"/>
    <w:rsid w:val="004945B6"/>
    <w:rsid w:val="00494742"/>
    <w:rsid w:val="004947C9"/>
    <w:rsid w:val="00494C9D"/>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890"/>
    <w:rsid w:val="004B4B25"/>
    <w:rsid w:val="004B4EA4"/>
    <w:rsid w:val="004B5076"/>
    <w:rsid w:val="004B5389"/>
    <w:rsid w:val="004B5D49"/>
    <w:rsid w:val="004B6FD3"/>
    <w:rsid w:val="004B7B5A"/>
    <w:rsid w:val="004B7F76"/>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B47"/>
    <w:rsid w:val="004D5E3A"/>
    <w:rsid w:val="004D6031"/>
    <w:rsid w:val="004D60EE"/>
    <w:rsid w:val="004D6767"/>
    <w:rsid w:val="004D6B1E"/>
    <w:rsid w:val="004D755C"/>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87A"/>
    <w:rsid w:val="004E3997"/>
    <w:rsid w:val="004E4556"/>
    <w:rsid w:val="004E4ADE"/>
    <w:rsid w:val="004E63EB"/>
    <w:rsid w:val="004E6413"/>
    <w:rsid w:val="004E6AE4"/>
    <w:rsid w:val="004E7EA2"/>
    <w:rsid w:val="004F04A5"/>
    <w:rsid w:val="004F04E5"/>
    <w:rsid w:val="004F0CCA"/>
    <w:rsid w:val="004F0E9A"/>
    <w:rsid w:val="004F1B3E"/>
    <w:rsid w:val="004F2399"/>
    <w:rsid w:val="004F2AE2"/>
    <w:rsid w:val="004F37BA"/>
    <w:rsid w:val="004F42D1"/>
    <w:rsid w:val="004F4BA2"/>
    <w:rsid w:val="004F4E98"/>
    <w:rsid w:val="004F524E"/>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3F54"/>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37B6B"/>
    <w:rsid w:val="00540580"/>
    <w:rsid w:val="005407C0"/>
    <w:rsid w:val="00540971"/>
    <w:rsid w:val="00541846"/>
    <w:rsid w:val="00541851"/>
    <w:rsid w:val="0054189A"/>
    <w:rsid w:val="00541CA3"/>
    <w:rsid w:val="0054354B"/>
    <w:rsid w:val="00543B2A"/>
    <w:rsid w:val="00543E53"/>
    <w:rsid w:val="00543F0E"/>
    <w:rsid w:val="00544D31"/>
    <w:rsid w:val="00545D32"/>
    <w:rsid w:val="00546767"/>
    <w:rsid w:val="00546C08"/>
    <w:rsid w:val="00550B24"/>
    <w:rsid w:val="00550FBF"/>
    <w:rsid w:val="00551089"/>
    <w:rsid w:val="005512E8"/>
    <w:rsid w:val="00551D57"/>
    <w:rsid w:val="005520B4"/>
    <w:rsid w:val="00552436"/>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0BE0"/>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0AD"/>
    <w:rsid w:val="005824B9"/>
    <w:rsid w:val="00584767"/>
    <w:rsid w:val="005857BC"/>
    <w:rsid w:val="00585907"/>
    <w:rsid w:val="00585C88"/>
    <w:rsid w:val="00586906"/>
    <w:rsid w:val="0058692F"/>
    <w:rsid w:val="00586B99"/>
    <w:rsid w:val="005870C4"/>
    <w:rsid w:val="005873D5"/>
    <w:rsid w:val="0059056D"/>
    <w:rsid w:val="0059075B"/>
    <w:rsid w:val="00590A6E"/>
    <w:rsid w:val="00590EB8"/>
    <w:rsid w:val="00591148"/>
    <w:rsid w:val="00591998"/>
    <w:rsid w:val="00591C97"/>
    <w:rsid w:val="00592309"/>
    <w:rsid w:val="00592B32"/>
    <w:rsid w:val="00593523"/>
    <w:rsid w:val="00593699"/>
    <w:rsid w:val="0059472B"/>
    <w:rsid w:val="005953B5"/>
    <w:rsid w:val="005954B1"/>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010"/>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1A32"/>
    <w:rsid w:val="005E2371"/>
    <w:rsid w:val="005E283A"/>
    <w:rsid w:val="005E399C"/>
    <w:rsid w:val="005E3BB2"/>
    <w:rsid w:val="005E3C9B"/>
    <w:rsid w:val="005E4BA1"/>
    <w:rsid w:val="005E55CF"/>
    <w:rsid w:val="005E5918"/>
    <w:rsid w:val="005E68A5"/>
    <w:rsid w:val="005E738F"/>
    <w:rsid w:val="005E7608"/>
    <w:rsid w:val="005E76A8"/>
    <w:rsid w:val="005E7EFA"/>
    <w:rsid w:val="005F0F5C"/>
    <w:rsid w:val="005F16D8"/>
    <w:rsid w:val="005F18EE"/>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079CC"/>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A33"/>
    <w:rsid w:val="00621FF8"/>
    <w:rsid w:val="00622208"/>
    <w:rsid w:val="006223EC"/>
    <w:rsid w:val="00622800"/>
    <w:rsid w:val="006232F1"/>
    <w:rsid w:val="00624088"/>
    <w:rsid w:val="00624B33"/>
    <w:rsid w:val="00624F2F"/>
    <w:rsid w:val="00625D14"/>
    <w:rsid w:val="006301D1"/>
    <w:rsid w:val="00630B00"/>
    <w:rsid w:val="006319FF"/>
    <w:rsid w:val="00631CD2"/>
    <w:rsid w:val="00632070"/>
    <w:rsid w:val="006320A8"/>
    <w:rsid w:val="00632735"/>
    <w:rsid w:val="00632A11"/>
    <w:rsid w:val="00633202"/>
    <w:rsid w:val="00633456"/>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6F17"/>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0F81"/>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CB2"/>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10"/>
    <w:rsid w:val="006E40CA"/>
    <w:rsid w:val="006E46DB"/>
    <w:rsid w:val="006E4905"/>
    <w:rsid w:val="006E4E55"/>
    <w:rsid w:val="006E52FE"/>
    <w:rsid w:val="006E5617"/>
    <w:rsid w:val="006E6489"/>
    <w:rsid w:val="006E6606"/>
    <w:rsid w:val="006E703E"/>
    <w:rsid w:val="006E7243"/>
    <w:rsid w:val="006E7E5C"/>
    <w:rsid w:val="006F00DC"/>
    <w:rsid w:val="006F06B1"/>
    <w:rsid w:val="006F0731"/>
    <w:rsid w:val="006F2575"/>
    <w:rsid w:val="006F2D62"/>
    <w:rsid w:val="006F303F"/>
    <w:rsid w:val="006F393A"/>
    <w:rsid w:val="006F49F1"/>
    <w:rsid w:val="006F4D7F"/>
    <w:rsid w:val="006F4E1E"/>
    <w:rsid w:val="006F4ECE"/>
    <w:rsid w:val="006F5434"/>
    <w:rsid w:val="006F5484"/>
    <w:rsid w:val="006F5CE2"/>
    <w:rsid w:val="006F6033"/>
    <w:rsid w:val="006F7173"/>
    <w:rsid w:val="00700648"/>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26AA"/>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025"/>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672"/>
    <w:rsid w:val="007729ED"/>
    <w:rsid w:val="007732A9"/>
    <w:rsid w:val="0077346B"/>
    <w:rsid w:val="00773682"/>
    <w:rsid w:val="007741DB"/>
    <w:rsid w:val="00775138"/>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4C76"/>
    <w:rsid w:val="007850E1"/>
    <w:rsid w:val="00785C0D"/>
    <w:rsid w:val="00785D37"/>
    <w:rsid w:val="00785DBA"/>
    <w:rsid w:val="00786132"/>
    <w:rsid w:val="007861A0"/>
    <w:rsid w:val="0078649C"/>
    <w:rsid w:val="007864B5"/>
    <w:rsid w:val="00787019"/>
    <w:rsid w:val="00787023"/>
    <w:rsid w:val="00787181"/>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503"/>
    <w:rsid w:val="007A4E7D"/>
    <w:rsid w:val="007A5414"/>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4B7"/>
    <w:rsid w:val="007C1C07"/>
    <w:rsid w:val="007C1D5F"/>
    <w:rsid w:val="007C23A9"/>
    <w:rsid w:val="007C25E4"/>
    <w:rsid w:val="007C26FB"/>
    <w:rsid w:val="007C28AC"/>
    <w:rsid w:val="007C29C8"/>
    <w:rsid w:val="007C41F0"/>
    <w:rsid w:val="007C48CE"/>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0BC"/>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38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2B4D"/>
    <w:rsid w:val="008134A1"/>
    <w:rsid w:val="008147FD"/>
    <w:rsid w:val="008149B3"/>
    <w:rsid w:val="00814A76"/>
    <w:rsid w:val="00815051"/>
    <w:rsid w:val="00815B74"/>
    <w:rsid w:val="00815B9F"/>
    <w:rsid w:val="0081703D"/>
    <w:rsid w:val="00817A71"/>
    <w:rsid w:val="00817EDF"/>
    <w:rsid w:val="0082005F"/>
    <w:rsid w:val="008204B1"/>
    <w:rsid w:val="00821DAD"/>
    <w:rsid w:val="00822165"/>
    <w:rsid w:val="008223DF"/>
    <w:rsid w:val="008238E5"/>
    <w:rsid w:val="00823AA2"/>
    <w:rsid w:val="00824348"/>
    <w:rsid w:val="008249DC"/>
    <w:rsid w:val="00824EB9"/>
    <w:rsid w:val="00824FA1"/>
    <w:rsid w:val="008254AF"/>
    <w:rsid w:val="00825573"/>
    <w:rsid w:val="00826434"/>
    <w:rsid w:val="00826CB7"/>
    <w:rsid w:val="008271D7"/>
    <w:rsid w:val="0082758F"/>
    <w:rsid w:val="00830132"/>
    <w:rsid w:val="00830F97"/>
    <w:rsid w:val="00832B3F"/>
    <w:rsid w:val="00832B90"/>
    <w:rsid w:val="008331BD"/>
    <w:rsid w:val="0083448E"/>
    <w:rsid w:val="00834F38"/>
    <w:rsid w:val="00835526"/>
    <w:rsid w:val="00835A5B"/>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0AC"/>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1B1"/>
    <w:rsid w:val="00865911"/>
    <w:rsid w:val="00866832"/>
    <w:rsid w:val="00866CE9"/>
    <w:rsid w:val="00866F43"/>
    <w:rsid w:val="008677BC"/>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13A"/>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3B7E"/>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2A27"/>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75A"/>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0CF"/>
    <w:rsid w:val="0090641E"/>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0D7C"/>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4E72"/>
    <w:rsid w:val="009551C1"/>
    <w:rsid w:val="0095527C"/>
    <w:rsid w:val="00956602"/>
    <w:rsid w:val="0095675A"/>
    <w:rsid w:val="00957195"/>
    <w:rsid w:val="009578BA"/>
    <w:rsid w:val="00957A2C"/>
    <w:rsid w:val="009604A5"/>
    <w:rsid w:val="00960F80"/>
    <w:rsid w:val="009612C3"/>
    <w:rsid w:val="00961D3F"/>
    <w:rsid w:val="0096318D"/>
    <w:rsid w:val="00963BC1"/>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072"/>
    <w:rsid w:val="009841BF"/>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0"/>
    <w:rsid w:val="009E0DA6"/>
    <w:rsid w:val="009E12C9"/>
    <w:rsid w:val="009E1FC4"/>
    <w:rsid w:val="009E298A"/>
    <w:rsid w:val="009E2BE4"/>
    <w:rsid w:val="009E2E69"/>
    <w:rsid w:val="009E3027"/>
    <w:rsid w:val="009E483F"/>
    <w:rsid w:val="009E4BB0"/>
    <w:rsid w:val="009E59AD"/>
    <w:rsid w:val="009E5A84"/>
    <w:rsid w:val="009F0256"/>
    <w:rsid w:val="009F0818"/>
    <w:rsid w:val="009F0DA2"/>
    <w:rsid w:val="009F0E5C"/>
    <w:rsid w:val="009F0F07"/>
    <w:rsid w:val="009F1785"/>
    <w:rsid w:val="009F1899"/>
    <w:rsid w:val="009F1CC9"/>
    <w:rsid w:val="009F2F03"/>
    <w:rsid w:val="009F3392"/>
    <w:rsid w:val="009F3AEB"/>
    <w:rsid w:val="009F42AC"/>
    <w:rsid w:val="009F520B"/>
    <w:rsid w:val="009F5F11"/>
    <w:rsid w:val="009F651E"/>
    <w:rsid w:val="009F692D"/>
    <w:rsid w:val="009F7C49"/>
    <w:rsid w:val="009F7DB8"/>
    <w:rsid w:val="009F7F65"/>
    <w:rsid w:val="00A00F52"/>
    <w:rsid w:val="00A013DF"/>
    <w:rsid w:val="00A01685"/>
    <w:rsid w:val="00A01714"/>
    <w:rsid w:val="00A0191C"/>
    <w:rsid w:val="00A01AAC"/>
    <w:rsid w:val="00A03DE2"/>
    <w:rsid w:val="00A04108"/>
    <w:rsid w:val="00A046C4"/>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765"/>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5E08"/>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596"/>
    <w:rsid w:val="00A468DD"/>
    <w:rsid w:val="00A46A62"/>
    <w:rsid w:val="00A5047C"/>
    <w:rsid w:val="00A5049E"/>
    <w:rsid w:val="00A50D64"/>
    <w:rsid w:val="00A50DAA"/>
    <w:rsid w:val="00A5114F"/>
    <w:rsid w:val="00A51480"/>
    <w:rsid w:val="00A515FC"/>
    <w:rsid w:val="00A527C3"/>
    <w:rsid w:val="00A5351C"/>
    <w:rsid w:val="00A53711"/>
    <w:rsid w:val="00A542ED"/>
    <w:rsid w:val="00A54579"/>
    <w:rsid w:val="00A54C74"/>
    <w:rsid w:val="00A55389"/>
    <w:rsid w:val="00A55AF2"/>
    <w:rsid w:val="00A55F6F"/>
    <w:rsid w:val="00A560DC"/>
    <w:rsid w:val="00A56383"/>
    <w:rsid w:val="00A56C00"/>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A6E"/>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3F"/>
    <w:rsid w:val="00A93E68"/>
    <w:rsid w:val="00A94305"/>
    <w:rsid w:val="00A943EE"/>
    <w:rsid w:val="00A9591B"/>
    <w:rsid w:val="00A95943"/>
    <w:rsid w:val="00A95A70"/>
    <w:rsid w:val="00A95B68"/>
    <w:rsid w:val="00A95E8B"/>
    <w:rsid w:val="00A9656D"/>
    <w:rsid w:val="00AA001F"/>
    <w:rsid w:val="00AA0146"/>
    <w:rsid w:val="00AA0953"/>
    <w:rsid w:val="00AA1426"/>
    <w:rsid w:val="00AA18C5"/>
    <w:rsid w:val="00AA1DC0"/>
    <w:rsid w:val="00AA1F2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2C51"/>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2EFF"/>
    <w:rsid w:val="00AC3E5C"/>
    <w:rsid w:val="00AC4FE4"/>
    <w:rsid w:val="00AC65F1"/>
    <w:rsid w:val="00AC6616"/>
    <w:rsid w:val="00AC6EFF"/>
    <w:rsid w:val="00AC7753"/>
    <w:rsid w:val="00AC77B2"/>
    <w:rsid w:val="00AC799C"/>
    <w:rsid w:val="00AC7E12"/>
    <w:rsid w:val="00AD0702"/>
    <w:rsid w:val="00AD0E5C"/>
    <w:rsid w:val="00AD2595"/>
    <w:rsid w:val="00AD29BA"/>
    <w:rsid w:val="00AD2CB1"/>
    <w:rsid w:val="00AD3044"/>
    <w:rsid w:val="00AD30BC"/>
    <w:rsid w:val="00AD3383"/>
    <w:rsid w:val="00AD34A1"/>
    <w:rsid w:val="00AD599D"/>
    <w:rsid w:val="00AD5DEA"/>
    <w:rsid w:val="00AD5E40"/>
    <w:rsid w:val="00AD6B89"/>
    <w:rsid w:val="00AD7A81"/>
    <w:rsid w:val="00AE04C6"/>
    <w:rsid w:val="00AE05BE"/>
    <w:rsid w:val="00AE1169"/>
    <w:rsid w:val="00AE1A2B"/>
    <w:rsid w:val="00AE22D9"/>
    <w:rsid w:val="00AE27D1"/>
    <w:rsid w:val="00AE2960"/>
    <w:rsid w:val="00AE2BF7"/>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20F"/>
    <w:rsid w:val="00AF5878"/>
    <w:rsid w:val="00AF5ABC"/>
    <w:rsid w:val="00AF6D45"/>
    <w:rsid w:val="00AF733D"/>
    <w:rsid w:val="00AF7F70"/>
    <w:rsid w:val="00B00105"/>
    <w:rsid w:val="00B0066D"/>
    <w:rsid w:val="00B01074"/>
    <w:rsid w:val="00B028ED"/>
    <w:rsid w:val="00B02F21"/>
    <w:rsid w:val="00B0390B"/>
    <w:rsid w:val="00B04931"/>
    <w:rsid w:val="00B0527A"/>
    <w:rsid w:val="00B05523"/>
    <w:rsid w:val="00B05C07"/>
    <w:rsid w:val="00B06269"/>
    <w:rsid w:val="00B06B62"/>
    <w:rsid w:val="00B0742E"/>
    <w:rsid w:val="00B075AD"/>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4CA4"/>
    <w:rsid w:val="00B265BE"/>
    <w:rsid w:val="00B26BD3"/>
    <w:rsid w:val="00B27417"/>
    <w:rsid w:val="00B27DAB"/>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0BE"/>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5E2A"/>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6E9C"/>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59D0"/>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2A9"/>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4C1E"/>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C58"/>
    <w:rsid w:val="00C01DEA"/>
    <w:rsid w:val="00C02F07"/>
    <w:rsid w:val="00C0323C"/>
    <w:rsid w:val="00C033EE"/>
    <w:rsid w:val="00C0471D"/>
    <w:rsid w:val="00C048E3"/>
    <w:rsid w:val="00C05700"/>
    <w:rsid w:val="00C05AE8"/>
    <w:rsid w:val="00C05CF4"/>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E"/>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05D"/>
    <w:rsid w:val="00C24960"/>
    <w:rsid w:val="00C255AF"/>
    <w:rsid w:val="00C26E46"/>
    <w:rsid w:val="00C3020D"/>
    <w:rsid w:val="00C30650"/>
    <w:rsid w:val="00C3118E"/>
    <w:rsid w:val="00C31695"/>
    <w:rsid w:val="00C32502"/>
    <w:rsid w:val="00C32712"/>
    <w:rsid w:val="00C33524"/>
    <w:rsid w:val="00C33C08"/>
    <w:rsid w:val="00C33D92"/>
    <w:rsid w:val="00C33DBB"/>
    <w:rsid w:val="00C33E58"/>
    <w:rsid w:val="00C343C2"/>
    <w:rsid w:val="00C3440C"/>
    <w:rsid w:val="00C346ED"/>
    <w:rsid w:val="00C34B07"/>
    <w:rsid w:val="00C34B74"/>
    <w:rsid w:val="00C34E26"/>
    <w:rsid w:val="00C35554"/>
    <w:rsid w:val="00C3582C"/>
    <w:rsid w:val="00C35875"/>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01"/>
    <w:rsid w:val="00C552BC"/>
    <w:rsid w:val="00C55402"/>
    <w:rsid w:val="00C554BE"/>
    <w:rsid w:val="00C559A2"/>
    <w:rsid w:val="00C56786"/>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A1D"/>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5D27"/>
    <w:rsid w:val="00CA71D5"/>
    <w:rsid w:val="00CA72A9"/>
    <w:rsid w:val="00CA7C3A"/>
    <w:rsid w:val="00CB0874"/>
    <w:rsid w:val="00CB08E3"/>
    <w:rsid w:val="00CB15A5"/>
    <w:rsid w:val="00CB1EF1"/>
    <w:rsid w:val="00CB1FF7"/>
    <w:rsid w:val="00CB2852"/>
    <w:rsid w:val="00CB29D2"/>
    <w:rsid w:val="00CB2C43"/>
    <w:rsid w:val="00CB2D9C"/>
    <w:rsid w:val="00CB3293"/>
    <w:rsid w:val="00CB3433"/>
    <w:rsid w:val="00CB371C"/>
    <w:rsid w:val="00CB3BB9"/>
    <w:rsid w:val="00CB3BCE"/>
    <w:rsid w:val="00CB4412"/>
    <w:rsid w:val="00CB47C9"/>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1BA"/>
    <w:rsid w:val="00CC475E"/>
    <w:rsid w:val="00CC4C6A"/>
    <w:rsid w:val="00CC5452"/>
    <w:rsid w:val="00CC5E4C"/>
    <w:rsid w:val="00CC65C2"/>
    <w:rsid w:val="00CC6A6D"/>
    <w:rsid w:val="00CC7F5A"/>
    <w:rsid w:val="00CD105F"/>
    <w:rsid w:val="00CD1728"/>
    <w:rsid w:val="00CD2316"/>
    <w:rsid w:val="00CD39F7"/>
    <w:rsid w:val="00CD3CCE"/>
    <w:rsid w:val="00CD400F"/>
    <w:rsid w:val="00CD4021"/>
    <w:rsid w:val="00CD407B"/>
    <w:rsid w:val="00CD42FD"/>
    <w:rsid w:val="00CD44AD"/>
    <w:rsid w:val="00CD4B3C"/>
    <w:rsid w:val="00CD6AB1"/>
    <w:rsid w:val="00CD6C8A"/>
    <w:rsid w:val="00CD781F"/>
    <w:rsid w:val="00CD7CD2"/>
    <w:rsid w:val="00CE0D0C"/>
    <w:rsid w:val="00CE1477"/>
    <w:rsid w:val="00CE17A0"/>
    <w:rsid w:val="00CE180B"/>
    <w:rsid w:val="00CE1F1E"/>
    <w:rsid w:val="00CE286A"/>
    <w:rsid w:val="00CE28CC"/>
    <w:rsid w:val="00CE2967"/>
    <w:rsid w:val="00CE2B00"/>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030"/>
    <w:rsid w:val="00CF0EA1"/>
    <w:rsid w:val="00CF203E"/>
    <w:rsid w:val="00CF23C5"/>
    <w:rsid w:val="00CF303A"/>
    <w:rsid w:val="00CF312C"/>
    <w:rsid w:val="00CF3609"/>
    <w:rsid w:val="00CF480B"/>
    <w:rsid w:val="00CF4BCB"/>
    <w:rsid w:val="00CF4CA6"/>
    <w:rsid w:val="00CF52E3"/>
    <w:rsid w:val="00CF5758"/>
    <w:rsid w:val="00CF5DD5"/>
    <w:rsid w:val="00CF5E70"/>
    <w:rsid w:val="00CF601A"/>
    <w:rsid w:val="00CF6A75"/>
    <w:rsid w:val="00CF728E"/>
    <w:rsid w:val="00CF72FB"/>
    <w:rsid w:val="00CF7514"/>
    <w:rsid w:val="00CF7659"/>
    <w:rsid w:val="00D02950"/>
    <w:rsid w:val="00D02B74"/>
    <w:rsid w:val="00D02D48"/>
    <w:rsid w:val="00D03C3C"/>
    <w:rsid w:val="00D051D9"/>
    <w:rsid w:val="00D05429"/>
    <w:rsid w:val="00D0708E"/>
    <w:rsid w:val="00D07B93"/>
    <w:rsid w:val="00D07D1A"/>
    <w:rsid w:val="00D07EF8"/>
    <w:rsid w:val="00D07F16"/>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0B0E"/>
    <w:rsid w:val="00D51025"/>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18F"/>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0F9"/>
    <w:rsid w:val="00D93340"/>
    <w:rsid w:val="00D9338D"/>
    <w:rsid w:val="00D94832"/>
    <w:rsid w:val="00D949E8"/>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4388"/>
    <w:rsid w:val="00DB5668"/>
    <w:rsid w:val="00DB5DB3"/>
    <w:rsid w:val="00DB6024"/>
    <w:rsid w:val="00DB644D"/>
    <w:rsid w:val="00DB69B9"/>
    <w:rsid w:val="00DB6B0D"/>
    <w:rsid w:val="00DC154A"/>
    <w:rsid w:val="00DC1A32"/>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B60"/>
    <w:rsid w:val="00DD3F0A"/>
    <w:rsid w:val="00DD5158"/>
    <w:rsid w:val="00DD5891"/>
    <w:rsid w:val="00DD626F"/>
    <w:rsid w:val="00DD7D30"/>
    <w:rsid w:val="00DE0391"/>
    <w:rsid w:val="00DE0785"/>
    <w:rsid w:val="00DE1209"/>
    <w:rsid w:val="00DE20C4"/>
    <w:rsid w:val="00DE23CF"/>
    <w:rsid w:val="00DE3389"/>
    <w:rsid w:val="00DE34D5"/>
    <w:rsid w:val="00DE35F8"/>
    <w:rsid w:val="00DE3F94"/>
    <w:rsid w:val="00DE4087"/>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74E"/>
    <w:rsid w:val="00E02D0D"/>
    <w:rsid w:val="00E0330E"/>
    <w:rsid w:val="00E0405D"/>
    <w:rsid w:val="00E0437B"/>
    <w:rsid w:val="00E04AD4"/>
    <w:rsid w:val="00E062DE"/>
    <w:rsid w:val="00E07001"/>
    <w:rsid w:val="00E07267"/>
    <w:rsid w:val="00E07ED2"/>
    <w:rsid w:val="00E102D4"/>
    <w:rsid w:val="00E10531"/>
    <w:rsid w:val="00E10F20"/>
    <w:rsid w:val="00E116CB"/>
    <w:rsid w:val="00E122A2"/>
    <w:rsid w:val="00E12724"/>
    <w:rsid w:val="00E12AA7"/>
    <w:rsid w:val="00E13487"/>
    <w:rsid w:val="00E13C26"/>
    <w:rsid w:val="00E13C90"/>
    <w:rsid w:val="00E13CA2"/>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021E"/>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CE8"/>
    <w:rsid w:val="00E45FB9"/>
    <w:rsid w:val="00E45FF8"/>
    <w:rsid w:val="00E46204"/>
    <w:rsid w:val="00E4632B"/>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67C97"/>
    <w:rsid w:val="00E70EB7"/>
    <w:rsid w:val="00E70F8B"/>
    <w:rsid w:val="00E71510"/>
    <w:rsid w:val="00E71CE5"/>
    <w:rsid w:val="00E71FD1"/>
    <w:rsid w:val="00E72547"/>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1BF"/>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4A20"/>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60F7"/>
    <w:rsid w:val="00EA7297"/>
    <w:rsid w:val="00EB1883"/>
    <w:rsid w:val="00EB1A6A"/>
    <w:rsid w:val="00EB2405"/>
    <w:rsid w:val="00EB2DC4"/>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397F"/>
    <w:rsid w:val="00EC40C4"/>
    <w:rsid w:val="00EC48E4"/>
    <w:rsid w:val="00EC512A"/>
    <w:rsid w:val="00EC518F"/>
    <w:rsid w:val="00EC52DE"/>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596"/>
    <w:rsid w:val="00ED7625"/>
    <w:rsid w:val="00EE0845"/>
    <w:rsid w:val="00EE0AE6"/>
    <w:rsid w:val="00EE0D10"/>
    <w:rsid w:val="00EE0DBA"/>
    <w:rsid w:val="00EE136F"/>
    <w:rsid w:val="00EE14CC"/>
    <w:rsid w:val="00EE17B4"/>
    <w:rsid w:val="00EE2B70"/>
    <w:rsid w:val="00EE352B"/>
    <w:rsid w:val="00EE44FE"/>
    <w:rsid w:val="00EE4890"/>
    <w:rsid w:val="00EE4E25"/>
    <w:rsid w:val="00EE5AB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684"/>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1FA"/>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563"/>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3528"/>
    <w:rsid w:val="00F74ED0"/>
    <w:rsid w:val="00F7537E"/>
    <w:rsid w:val="00F75506"/>
    <w:rsid w:val="00F75584"/>
    <w:rsid w:val="00F75797"/>
    <w:rsid w:val="00F76736"/>
    <w:rsid w:val="00F76B95"/>
    <w:rsid w:val="00F77806"/>
    <w:rsid w:val="00F7788C"/>
    <w:rsid w:val="00F77C3C"/>
    <w:rsid w:val="00F800B1"/>
    <w:rsid w:val="00F80852"/>
    <w:rsid w:val="00F80A9F"/>
    <w:rsid w:val="00F80E7B"/>
    <w:rsid w:val="00F81833"/>
    <w:rsid w:val="00F81937"/>
    <w:rsid w:val="00F8239A"/>
    <w:rsid w:val="00F825DA"/>
    <w:rsid w:val="00F835E3"/>
    <w:rsid w:val="00F83AB9"/>
    <w:rsid w:val="00F83C18"/>
    <w:rsid w:val="00F84462"/>
    <w:rsid w:val="00F84BD7"/>
    <w:rsid w:val="00F84D2C"/>
    <w:rsid w:val="00F8595B"/>
    <w:rsid w:val="00F85C1F"/>
    <w:rsid w:val="00F8607C"/>
    <w:rsid w:val="00F86FAE"/>
    <w:rsid w:val="00F8753C"/>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C2C"/>
    <w:rsid w:val="00FC0EE2"/>
    <w:rsid w:val="00FC2E6E"/>
    <w:rsid w:val="00FC3F4D"/>
    <w:rsid w:val="00FC4247"/>
    <w:rsid w:val="00FC44B6"/>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040F"/>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15D"/>
    <w:rsid w:val="00FF2D5F"/>
    <w:rsid w:val="00FF3003"/>
    <w:rsid w:val="00FF3532"/>
    <w:rsid w:val="00FF4372"/>
    <w:rsid w:val="00FF48CF"/>
    <w:rsid w:val="00FF4CF9"/>
    <w:rsid w:val="00FF5A5C"/>
    <w:rsid w:val="00FF5F20"/>
    <w:rsid w:val="00FF6A59"/>
    <w:rsid w:val="02C34A9E"/>
    <w:rsid w:val="035013A3"/>
    <w:rsid w:val="04694909"/>
    <w:rsid w:val="06B71AB7"/>
    <w:rsid w:val="07CA6958"/>
    <w:rsid w:val="082A3D01"/>
    <w:rsid w:val="084A1DCC"/>
    <w:rsid w:val="08E77D55"/>
    <w:rsid w:val="08E92277"/>
    <w:rsid w:val="0A5C4748"/>
    <w:rsid w:val="0A607237"/>
    <w:rsid w:val="0B611148"/>
    <w:rsid w:val="0D9F6D9A"/>
    <w:rsid w:val="0E5A17F2"/>
    <w:rsid w:val="10317315"/>
    <w:rsid w:val="104B08CD"/>
    <w:rsid w:val="106F77AD"/>
    <w:rsid w:val="10AB4E8E"/>
    <w:rsid w:val="11A87272"/>
    <w:rsid w:val="11CE3BA6"/>
    <w:rsid w:val="11DC03DD"/>
    <w:rsid w:val="13A9324B"/>
    <w:rsid w:val="14786675"/>
    <w:rsid w:val="16477066"/>
    <w:rsid w:val="1679399C"/>
    <w:rsid w:val="16FA4030"/>
    <w:rsid w:val="17776C13"/>
    <w:rsid w:val="1789000E"/>
    <w:rsid w:val="18147E65"/>
    <w:rsid w:val="188B6CD1"/>
    <w:rsid w:val="18BB1D6B"/>
    <w:rsid w:val="19B73753"/>
    <w:rsid w:val="1B0F09C5"/>
    <w:rsid w:val="1D093BCE"/>
    <w:rsid w:val="1D241147"/>
    <w:rsid w:val="1E840A89"/>
    <w:rsid w:val="1EDB4CAB"/>
    <w:rsid w:val="1F027E12"/>
    <w:rsid w:val="1F3420A7"/>
    <w:rsid w:val="204F590B"/>
    <w:rsid w:val="24FD1758"/>
    <w:rsid w:val="270634FD"/>
    <w:rsid w:val="2955105F"/>
    <w:rsid w:val="2C373699"/>
    <w:rsid w:val="2D3A7988"/>
    <w:rsid w:val="2DE8189A"/>
    <w:rsid w:val="2EDA3662"/>
    <w:rsid w:val="2FE2287D"/>
    <w:rsid w:val="31090F8A"/>
    <w:rsid w:val="311B39AE"/>
    <w:rsid w:val="31C16047"/>
    <w:rsid w:val="337D1E31"/>
    <w:rsid w:val="34685DC6"/>
    <w:rsid w:val="35267245"/>
    <w:rsid w:val="35FC18AD"/>
    <w:rsid w:val="368513C3"/>
    <w:rsid w:val="382C36BF"/>
    <w:rsid w:val="39065B08"/>
    <w:rsid w:val="3A266529"/>
    <w:rsid w:val="3A5F1E52"/>
    <w:rsid w:val="3AC40783"/>
    <w:rsid w:val="3B1706C7"/>
    <w:rsid w:val="3D701B81"/>
    <w:rsid w:val="3E381C66"/>
    <w:rsid w:val="3E3959C6"/>
    <w:rsid w:val="3E727F6C"/>
    <w:rsid w:val="3E7F5899"/>
    <w:rsid w:val="3F81635A"/>
    <w:rsid w:val="404708C6"/>
    <w:rsid w:val="418959A5"/>
    <w:rsid w:val="41B949C4"/>
    <w:rsid w:val="432B2F7D"/>
    <w:rsid w:val="442C7AB2"/>
    <w:rsid w:val="469C31A7"/>
    <w:rsid w:val="46C22491"/>
    <w:rsid w:val="47932E86"/>
    <w:rsid w:val="4835483E"/>
    <w:rsid w:val="4AB74634"/>
    <w:rsid w:val="4BE231D0"/>
    <w:rsid w:val="4C317541"/>
    <w:rsid w:val="4D214AA2"/>
    <w:rsid w:val="4D246E34"/>
    <w:rsid w:val="4E876C8A"/>
    <w:rsid w:val="4E9F19E2"/>
    <w:rsid w:val="4F1358D4"/>
    <w:rsid w:val="4F227779"/>
    <w:rsid w:val="507B7296"/>
    <w:rsid w:val="50944EE0"/>
    <w:rsid w:val="51723BA9"/>
    <w:rsid w:val="51A1182A"/>
    <w:rsid w:val="51F7D64B"/>
    <w:rsid w:val="52145899"/>
    <w:rsid w:val="543237BB"/>
    <w:rsid w:val="548637DE"/>
    <w:rsid w:val="564000E4"/>
    <w:rsid w:val="58971672"/>
    <w:rsid w:val="59043013"/>
    <w:rsid w:val="5B6F016A"/>
    <w:rsid w:val="5C6A0CA8"/>
    <w:rsid w:val="5F5C7EBA"/>
    <w:rsid w:val="5FCB6B51"/>
    <w:rsid w:val="610A223A"/>
    <w:rsid w:val="617A6154"/>
    <w:rsid w:val="61E75E07"/>
    <w:rsid w:val="63341DFE"/>
    <w:rsid w:val="63E42073"/>
    <w:rsid w:val="64091AC2"/>
    <w:rsid w:val="642F33C0"/>
    <w:rsid w:val="65A5734B"/>
    <w:rsid w:val="675F3EA6"/>
    <w:rsid w:val="67C1725E"/>
    <w:rsid w:val="68483BD3"/>
    <w:rsid w:val="68691A98"/>
    <w:rsid w:val="68BB0571"/>
    <w:rsid w:val="69516AFC"/>
    <w:rsid w:val="6B7B4A3F"/>
    <w:rsid w:val="6BA574E8"/>
    <w:rsid w:val="6BB23491"/>
    <w:rsid w:val="6BBC599F"/>
    <w:rsid w:val="6C6C446C"/>
    <w:rsid w:val="6CDF2F38"/>
    <w:rsid w:val="6E0016D6"/>
    <w:rsid w:val="6EE721BE"/>
    <w:rsid w:val="71442C76"/>
    <w:rsid w:val="71A249F0"/>
    <w:rsid w:val="74E749BD"/>
    <w:rsid w:val="75F52F68"/>
    <w:rsid w:val="779F0019"/>
    <w:rsid w:val="77E4014B"/>
    <w:rsid w:val="77EF6502"/>
    <w:rsid w:val="794F0808"/>
    <w:rsid w:val="79675452"/>
    <w:rsid w:val="79B62CE9"/>
    <w:rsid w:val="7A9E4A77"/>
    <w:rsid w:val="7C0C29F1"/>
    <w:rsid w:val="7D390BED"/>
    <w:rsid w:val="7E1D18AF"/>
    <w:rsid w:val="FF7D3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15</Pages>
  <Words>12507</Words>
  <Characters>5577</Characters>
  <Lines>46</Lines>
  <Paragraphs>36</Paragraphs>
  <TotalTime>13</TotalTime>
  <ScaleCrop>false</ScaleCrop>
  <LinksUpToDate>false</LinksUpToDate>
  <CharactersWithSpaces>18048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2018-10-19T15:37:00Z</dcterms:created>
  <dc:creator>微软中国</dc:creator>
  <cp:lastModifiedBy>greatwall</cp:lastModifiedBy>
  <cp:lastPrinted>2018-12-10T15:21:00Z</cp:lastPrinted>
  <dcterms:modified xsi:type="dcterms:W3CDTF">2022-05-16T14:54:00Z</dcterms:modified>
  <dc:title>温州市2012年1—3月</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